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26, 2025</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SOUTHWEST GAS HOLDINGS,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00" w:type="dxa"/>
            <w:vAlign w:val="bottom"/>
            <w:gridSpan w:val="3"/>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001-37976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tcPr>
          <w:p>
            <w:pPr>
              <w:jc w:val="right"/>
              <w:ind w:right="1215"/>
              <w:spacing w:after="0"/>
              <w:rPr>
                <w:sz w:val="20"/>
                <w:szCs w:val="20"/>
                <w:color w:val="auto"/>
              </w:rPr>
            </w:pPr>
            <w:r>
              <w:rPr>
                <w:rFonts w:ascii="Times New Roman" w:cs="Times New Roman" w:eastAsia="Times New Roman" w:hAnsi="Times New Roman"/>
                <w:sz w:val="18"/>
                <w:szCs w:val="18"/>
                <w:b w:val="1"/>
                <w:bCs w:val="1"/>
                <w:color w:val="auto"/>
              </w:rPr>
              <w:t>81-3881866</w:t>
            </w:r>
          </w:p>
        </w:tc>
        <w:tc>
          <w:tcPr>
            <w:tcW w:w="0" w:type="dxa"/>
            <w:vAlign w:val="bottom"/>
          </w:tcPr>
          <w:p>
            <w:pPr>
              <w:spacing w:after="0"/>
              <w:rPr>
                <w:sz w:val="1"/>
                <w:szCs w:val="1"/>
                <w:color w:val="auto"/>
              </w:rPr>
            </w:pPr>
          </w:p>
        </w:tc>
      </w:tr>
      <w:tr>
        <w:trPr>
          <w:trHeight w:val="189"/>
        </w:trPr>
        <w:tc>
          <w:tcPr>
            <w:tcW w:w="34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980" w:type="dxa"/>
            <w:vAlign w:val="bottom"/>
          </w:tcPr>
          <w:p>
            <w:pPr>
              <w:spacing w:after="0"/>
              <w:rPr>
                <w:sz w:val="20"/>
                <w:szCs w:val="20"/>
                <w:color w:val="auto"/>
              </w:rPr>
            </w:pPr>
          </w:p>
        </w:tc>
        <w:tc>
          <w:tcPr>
            <w:tcW w:w="3240" w:type="dxa"/>
            <w:vAlign w:val="bottom"/>
            <w:gridSpan w:val="6"/>
          </w:tcPr>
          <w:p>
            <w:pPr>
              <w:jc w:val="center"/>
              <w:ind w:right="94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531"/>
        </w:trPr>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40" w:type="dxa"/>
            <w:vAlign w:val="bottom"/>
            <w:gridSpan w:val="6"/>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8360 S. Durango Drive</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7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1780" w:type="dxa"/>
            <w:vAlign w:val="bottom"/>
            <w:vMerge w:val="restart"/>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89193-8510</w:t>
            </w:r>
          </w:p>
        </w:tc>
        <w:tc>
          <w:tcPr>
            <w:tcW w:w="980" w:type="dxa"/>
            <w:vAlign w:val="bottom"/>
          </w:tcPr>
          <w:p>
            <w:pPr>
              <w:spacing w:after="0"/>
              <w:rPr>
                <w:sz w:val="20"/>
                <w:szCs w:val="20"/>
                <w:color w:val="auto"/>
              </w:rPr>
            </w:pPr>
          </w:p>
        </w:tc>
        <w:tc>
          <w:tcPr>
            <w:tcW w:w="3240" w:type="dxa"/>
            <w:vAlign w:val="bottom"/>
            <w:gridSpan w:val="6"/>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Post Office Box 98510</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0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(Zip Code)</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7"/>
        </w:trPr>
        <w:tc>
          <w:tcPr>
            <w:tcW w:w="1700" w:type="dxa"/>
            <w:vAlign w:val="bottom"/>
          </w:tcPr>
          <w:p>
            <w:pPr>
              <w:spacing w:after="0"/>
              <w:rPr>
                <w:sz w:val="24"/>
                <w:szCs w:val="24"/>
                <w:color w:val="auto"/>
              </w:rPr>
            </w:pPr>
          </w:p>
        </w:tc>
        <w:tc>
          <w:tcPr>
            <w:tcW w:w="9500" w:type="dxa"/>
            <w:vAlign w:val="bottom"/>
            <w:gridSpan w:val="9"/>
          </w:tcPr>
          <w:p>
            <w:pPr>
              <w:jc w:val="center"/>
              <w:ind w:right="1595"/>
              <w:spacing w:after="0" w:line="207" w:lineRule="exact"/>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(702) 876</w:t>
            </w:r>
            <w:r>
              <w:rPr>
                <w:rFonts w:ascii="MS PGothic" w:cs="MS PGothic" w:eastAsia="MS PGothic" w:hAnsi="MS PGothic"/>
                <w:sz w:val="18"/>
                <w:szCs w:val="18"/>
                <w:color w:val="auto"/>
                <w:strike w:val="1"/>
                <w:w w:val="99"/>
              </w:rPr>
              <w:t>‑</w:t>
            </w:r>
            <w:r>
              <w:rPr>
                <w:rFonts w:ascii="Times New Roman" w:cs="Times New Roman" w:eastAsia="Times New Roman" w:hAnsi="Times New Roman"/>
                <w:sz w:val="18"/>
                <w:szCs w:val="18"/>
                <w:b w:val="1"/>
                <w:bCs w:val="1"/>
                <w:color w:val="auto"/>
                <w:w w:val="99"/>
              </w:rPr>
              <w:t>7237</w:t>
            </w:r>
          </w:p>
        </w:tc>
        <w:tc>
          <w:tcPr>
            <w:tcW w:w="0" w:type="dxa"/>
            <w:vAlign w:val="bottom"/>
          </w:tcPr>
          <w:p>
            <w:pPr>
              <w:spacing w:after="0"/>
              <w:rPr>
                <w:sz w:val="1"/>
                <w:szCs w:val="1"/>
                <w:color w:val="auto"/>
              </w:rPr>
            </w:pPr>
          </w:p>
        </w:tc>
      </w:tr>
      <w:tr>
        <w:trPr>
          <w:trHeight w:val="303"/>
        </w:trPr>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2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1780" w:type="dxa"/>
            <w:vAlign w:val="bottom"/>
          </w:tcPr>
          <w:p>
            <w:pPr>
              <w:jc w:val="center"/>
              <w:ind w:left="395"/>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50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gridSpan w:val="4"/>
          </w:tcPr>
          <w:p>
            <w:pPr>
              <w:jc w:val="center"/>
              <w:ind w:left="592"/>
              <w:spacing w:after="0"/>
              <w:rPr>
                <w:sz w:val="20"/>
                <w:szCs w:val="20"/>
                <w:color w:val="auto"/>
              </w:rPr>
            </w:pPr>
            <w:r>
              <w:rPr>
                <w:rFonts w:ascii="Times New Roman" w:cs="Times New Roman" w:eastAsia="Times New Roman" w:hAnsi="Times New Roman"/>
                <w:sz w:val="16"/>
                <w:szCs w:val="16"/>
                <w:color w:val="auto"/>
              </w:rPr>
              <w:t>Southwest Gas Holdings, Inc. Common Stock, $1 Par Value</w:t>
            </w: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SWX</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500" w:type="dxa"/>
            <w:vAlign w:val="bottom"/>
            <w:tcBorders>
              <w:top w:val="single" w:sz="8" w:color="auto"/>
            </w:tcBorders>
          </w:tcPr>
          <w:p>
            <w:pPr>
              <w:jc w:val="center"/>
              <w:ind w:right="215"/>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760" w:type="dxa"/>
            <w:vAlign w:val="bottom"/>
            <w:gridSpan w:val="2"/>
          </w:tcPr>
          <w:p>
            <w:pPr>
              <w:jc w:val="center"/>
              <w:ind w:right="415"/>
              <w:spacing w:after="0"/>
              <w:rPr>
                <w:sz w:val="20"/>
                <w:szCs w:val="20"/>
                <w:color w:val="auto"/>
              </w:rPr>
            </w:pPr>
            <w:r>
              <w:rPr>
                <w:rFonts w:ascii="Times New Roman" w:cs="Times New Roman" w:eastAsia="Times New Roman" w:hAnsi="Times New Roman"/>
                <w:sz w:val="16"/>
                <w:szCs w:val="16"/>
                <w:color w:val="auto"/>
              </w:rPr>
              <w:t>Preferred Stock Purchase Rights</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color w:val="auto"/>
              </w:rPr>
              <w:t>N/A</w:t>
            </w:r>
          </w:p>
        </w:tc>
        <w:tc>
          <w:tcPr>
            <w:tcW w:w="3500" w:type="dxa"/>
            <w:vAlign w:val="bottom"/>
          </w:tcPr>
          <w:p>
            <w:pPr>
              <w:jc w:val="center"/>
              <w:ind w:right="215"/>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right="480"/>
        <w:spacing w:after="0" w:line="283" w:lineRule="auto"/>
        <w:rPr>
          <w:sz w:val="20"/>
          <w:szCs w:val="20"/>
          <w:color w:val="auto"/>
        </w:rPr>
      </w:pPr>
      <w:r>
        <w:rPr>
          <w:rFonts w:ascii="Times New Roman" w:cs="Times New Roman" w:eastAsia="Times New Roman" w:hAnsi="Times New Roman"/>
          <w:sz w:val="16"/>
          <w:szCs w:val="16"/>
          <w:b w:val="1"/>
          <w:bCs w:val="1"/>
          <w:color w:val="auto"/>
        </w:rPr>
        <w:t>Check the appropriate box below if the Form 8-K filing is intended to simultaneously satisfy the filing obligation of the registrant under any of the following provisions:</w:t>
      </w:r>
    </w:p>
    <w:p>
      <w:pPr>
        <w:spacing w:after="0" w:line="66"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Pre-commencement communications pursuant to Rule 13e-4(c) under the Exchange Act (17 CFR 240.13e-4(c))</w:t>
      </w:r>
    </w:p>
    <w:p>
      <w:pPr>
        <w:spacing w:after="0" w:line="241" w:lineRule="exact"/>
        <w:rPr>
          <w:sz w:val="24"/>
          <w:szCs w:val="24"/>
          <w:color w:val="auto"/>
        </w:rPr>
      </w:pPr>
    </w:p>
    <w:p>
      <w:pPr>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201" w:lineRule="exact"/>
        <w:rPr>
          <w:sz w:val="24"/>
          <w:szCs w:val="24"/>
          <w:color w:val="auto"/>
        </w:rPr>
      </w:pPr>
    </w:p>
    <w:p>
      <w:pPr>
        <w:spacing w:after="0" w:line="20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22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1"/>
          <w:szCs w:val="21"/>
          <w:b w:val="1"/>
          <w:bCs w:val="1"/>
          <w:color w:val="auto"/>
        </w:rPr>
        <w:t>Results of Operations and Financial Condition.</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February 26, 2025, Southwest Gas Holdings, Inc. released summary financial information to the general public, including the investment community, regarding operating performance for the quarter and twelve months ended December 31, 2024. A copy of the associated press release and summary financial information is attached hereto as Exhibit 99.</w:t>
      </w:r>
    </w:p>
    <w:p>
      <w:pPr>
        <w:spacing w:after="0" w:line="20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This Form 8-K and the attached exhibit are provided under Item 2.02 of Form 8-K and are furnished to, but not filed with, the Securities and Exchange Commission.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99 Press Release and summary financial information dated 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2" w:name="page3"/>
    <w:bookmarkEnd w:id="2"/>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8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SOUTHWEST GAS HOLDINGS, INC.</w:t>
            </w:r>
          </w:p>
        </w:tc>
      </w:tr>
      <w:tr>
        <w:trPr>
          <w:trHeight w:val="49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2025</w:t>
            </w:r>
          </w:p>
        </w:tc>
        <w:tc>
          <w:tcPr>
            <w:tcW w:w="5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J. Stefani</w:t>
            </w:r>
          </w:p>
        </w:tc>
      </w:tr>
      <w:tr>
        <w:trPr>
          <w:trHeight w:val="218"/>
        </w:trPr>
        <w:tc>
          <w:tcPr>
            <w:tcW w:w="5280" w:type="dxa"/>
            <w:vAlign w:val="bottom"/>
          </w:tcPr>
          <w:p>
            <w:pPr>
              <w:spacing w:after="0"/>
              <w:rPr>
                <w:sz w:val="18"/>
                <w:szCs w:val="18"/>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J. Stefani</w:t>
            </w:r>
          </w:p>
        </w:tc>
      </w:tr>
      <w:tr>
        <w:trPr>
          <w:trHeight w:val="234"/>
        </w:trPr>
        <w:tc>
          <w:tcPr>
            <w:tcW w:w="5280" w:type="dxa"/>
            <w:vAlign w:val="bottom"/>
          </w:tcPr>
          <w:p>
            <w:pPr>
              <w:spacing w:after="0"/>
              <w:rPr>
                <w:sz w:val="20"/>
                <w:szCs w:val="20"/>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President/Chief Financial Officer</w:t>
            </w:r>
          </w:p>
        </w:tc>
      </w:tr>
      <w:tr>
        <w:trPr>
          <w:trHeight w:val="2342"/>
        </w:trPr>
        <w:tc>
          <w:tcPr>
            <w:tcW w:w="528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w:t>
      </w:r>
    </w:p>
    <w:p>
      <w:pPr>
        <w:ind w:left="22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No.</w:t>
      </w:r>
      <w:r>
        <w:rPr>
          <w:sz w:val="20"/>
          <w:szCs w:val="20"/>
          <w:color w:val="auto"/>
        </w:rPr>
        <w:tab/>
      </w:r>
      <w:r>
        <w:rPr>
          <w:rFonts w:ascii="Times New Roman" w:cs="Times New Roman" w:eastAsia="Times New Roman" w:hAnsi="Times New Roman"/>
          <w:sz w:val="20"/>
          <w:szCs w:val="2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66179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7970" cy="8255"/>
                    </a:xfrm>
                    <a:prstGeom prst="rect">
                      <a:avLst/>
                    </a:prstGeom>
                    <a:noFill/>
                  </pic:spPr>
                </pic:pic>
              </a:graphicData>
            </a:graphic>
          </wp:anchor>
        </w:drawing>
      </w:r>
    </w:p>
    <w:p>
      <w:pPr>
        <w:ind w:left="1180" w:hanging="955"/>
        <w:spacing w:after="0"/>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0000FF"/>
        </w:rPr>
        <w:t>Press Release and summary financial information dated February 26, 2025.</w:t>
      </w:r>
    </w:p>
    <w:p>
      <w:pPr>
        <w:sectPr>
          <w:pgSz w:w="11900" w:h="16838" w:orient="portrait"/>
          <w:cols w:equalWidth="0" w:num="1">
            <w:col w:w="9339"/>
          </w:cols>
          <w:pgMar w:left="1120" w:top="1418" w:right="1440" w:bottom="1440" w:gutter="0" w:footer="0" w:header="0"/>
        </w:sectPr>
      </w:pPr>
    </w:p>
    <w:bookmarkStart w:id="4" w:name="page5"/>
    <w:bookmarkEnd w:id="4"/>
    <w:p>
      <w:pPr>
        <w:jc w:val="right"/>
        <w:spacing w:after="0"/>
        <w:rPr>
          <w:sz w:val="20"/>
          <w:szCs w:val="20"/>
          <w:color w:val="auto"/>
        </w:rPr>
      </w:pPr>
      <w:r>
        <w:rPr>
          <w:rFonts w:ascii="Calibri" w:cs="Calibri" w:eastAsia="Calibri" w:hAnsi="Calibri"/>
          <w:sz w:val="22"/>
          <w:szCs w:val="22"/>
          <w:b w:val="1"/>
          <w:bCs w:val="1"/>
          <w:color w:val="auto"/>
        </w:rPr>
        <w:t>For Immediate Release</w:t>
      </w:r>
    </w:p>
    <w:p>
      <w:pPr>
        <w:jc w:val="right"/>
        <w:spacing w:after="0" w:line="205" w:lineRule="auto"/>
        <w:rPr>
          <w:sz w:val="20"/>
          <w:szCs w:val="20"/>
          <w:color w:val="auto"/>
        </w:rPr>
      </w:pPr>
      <w:r>
        <w:rPr>
          <w:rFonts w:ascii="Calibri" w:cs="Calibri" w:eastAsia="Calibri" w:hAnsi="Calibri"/>
          <w:sz w:val="22"/>
          <w:szCs w:val="22"/>
          <w:b w:val="1"/>
          <w:bCs w:val="1"/>
          <w:color w:val="auto"/>
        </w:rPr>
        <w:t>February 26, 2025</w:t>
      </w:r>
    </w:p>
    <w:p>
      <w:pPr>
        <w:spacing w:after="0" w:line="229" w:lineRule="exact"/>
        <w:rPr>
          <w:sz w:val="20"/>
          <w:szCs w:val="20"/>
          <w:color w:val="auto"/>
        </w:rPr>
      </w:pPr>
    </w:p>
    <w:p>
      <w:pPr>
        <w:jc w:val="center"/>
        <w:ind w:right="20"/>
        <w:spacing w:after="0"/>
        <w:rPr>
          <w:sz w:val="20"/>
          <w:szCs w:val="20"/>
          <w:color w:val="auto"/>
        </w:rPr>
      </w:pPr>
      <w:r>
        <w:rPr>
          <w:rFonts w:ascii="Calibri" w:cs="Calibri" w:eastAsia="Calibri" w:hAnsi="Calibri"/>
          <w:sz w:val="25"/>
          <w:szCs w:val="25"/>
          <w:b w:val="1"/>
          <w:bCs w:val="1"/>
          <w:color w:val="auto"/>
        </w:rPr>
        <w:t>Southwest Gas Holdings, Inc. Reports Fourth Quarter and Full-Year 2024 Financial Results</w:t>
      </w:r>
    </w:p>
    <w:p>
      <w:pPr>
        <w:spacing w:after="0" w:line="142" w:lineRule="exact"/>
        <w:rPr>
          <w:sz w:val="20"/>
          <w:szCs w:val="20"/>
          <w:color w:val="auto"/>
        </w:rPr>
      </w:pPr>
    </w:p>
    <w:p>
      <w:pPr>
        <w:ind w:left="2460"/>
        <w:spacing w:after="0"/>
        <w:rPr>
          <w:sz w:val="20"/>
          <w:szCs w:val="20"/>
          <w:color w:val="auto"/>
        </w:rPr>
      </w:pPr>
      <w:r>
        <w:rPr>
          <w:rFonts w:ascii="Calibri" w:cs="Calibri" w:eastAsia="Calibri" w:hAnsi="Calibri"/>
          <w:sz w:val="22"/>
          <w:szCs w:val="22"/>
          <w:b w:val="1"/>
          <w:bCs w:val="1"/>
          <w:i w:val="1"/>
          <w:iCs w:val="1"/>
          <w:color w:val="auto"/>
        </w:rPr>
        <w:t>Delivers 8.1% Utlity ROE and Earnings Growth of ~8.0% Year-over-Year</w:t>
      </w:r>
    </w:p>
    <w:p>
      <w:pPr>
        <w:spacing w:after="0" w:line="136" w:lineRule="exact"/>
        <w:rPr>
          <w:sz w:val="20"/>
          <w:szCs w:val="20"/>
          <w:color w:val="auto"/>
        </w:rPr>
      </w:pPr>
    </w:p>
    <w:p>
      <w:pPr>
        <w:ind w:left="2000"/>
        <w:spacing w:after="0"/>
        <w:rPr>
          <w:sz w:val="20"/>
          <w:szCs w:val="20"/>
          <w:color w:val="auto"/>
        </w:rPr>
      </w:pPr>
      <w:r>
        <w:rPr>
          <w:rFonts w:ascii="Calibri" w:cs="Calibri" w:eastAsia="Calibri" w:hAnsi="Calibri"/>
          <w:sz w:val="22"/>
          <w:szCs w:val="22"/>
          <w:i w:val="1"/>
          <w:iCs w:val="1"/>
          <w:color w:val="auto"/>
        </w:rPr>
        <w:t>O&amp;M/Customer Flat Year-over-Year Refectng Progress on Utlity Cost Optmizaton</w:t>
      </w:r>
    </w:p>
    <w:p>
      <w:pPr>
        <w:spacing w:after="0" w:line="134" w:lineRule="exact"/>
        <w:rPr>
          <w:sz w:val="20"/>
          <w:szCs w:val="20"/>
          <w:color w:val="auto"/>
        </w:rPr>
      </w:pPr>
    </w:p>
    <w:p>
      <w:pPr>
        <w:ind w:left="200"/>
        <w:spacing w:after="0"/>
        <w:rPr>
          <w:sz w:val="20"/>
          <w:szCs w:val="20"/>
          <w:color w:val="auto"/>
        </w:rPr>
      </w:pPr>
      <w:r>
        <w:rPr>
          <w:rFonts w:ascii="Calibri" w:cs="Calibri" w:eastAsia="Calibri" w:hAnsi="Calibri"/>
          <w:sz w:val="22"/>
          <w:szCs w:val="22"/>
          <w:i w:val="1"/>
          <w:iCs w:val="1"/>
          <w:color w:val="auto"/>
        </w:rPr>
        <w:t>Initated 2025 Utlity Net Income and Capital Expenditures Guidance and Forward-Looking Utlity Net Income CAGR and Rate</w:t>
      </w:r>
    </w:p>
    <w:p>
      <w:pPr>
        <w:jc w:val="center"/>
        <w:spacing w:after="0" w:line="231" w:lineRule="auto"/>
        <w:rPr>
          <w:sz w:val="20"/>
          <w:szCs w:val="20"/>
          <w:color w:val="auto"/>
        </w:rPr>
      </w:pPr>
      <w:r>
        <w:rPr>
          <w:rFonts w:ascii="Calibri" w:cs="Calibri" w:eastAsia="Calibri" w:hAnsi="Calibri"/>
          <w:sz w:val="22"/>
          <w:szCs w:val="22"/>
          <w:i w:val="1"/>
          <w:iCs w:val="1"/>
          <w:color w:val="auto"/>
        </w:rPr>
        <w:t>Base CAGR Guidance</w:t>
      </w:r>
    </w:p>
    <w:p>
      <w:pPr>
        <w:spacing w:after="0" w:line="120" w:lineRule="exact"/>
        <w:rPr>
          <w:sz w:val="20"/>
          <w:szCs w:val="20"/>
          <w:color w:val="auto"/>
        </w:rPr>
      </w:pPr>
    </w:p>
    <w:p>
      <w:pPr>
        <w:jc w:val="both"/>
        <w:spacing w:after="0" w:line="239" w:lineRule="auto"/>
        <w:rPr>
          <w:sz w:val="20"/>
          <w:szCs w:val="20"/>
          <w:color w:val="auto"/>
        </w:rPr>
      </w:pPr>
      <w:r>
        <w:rPr>
          <w:rFonts w:ascii="Calibri" w:cs="Calibri" w:eastAsia="Calibri" w:hAnsi="Calibri"/>
          <w:sz w:val="22"/>
          <w:szCs w:val="22"/>
          <w:b w:val="1"/>
          <w:bCs w:val="1"/>
          <w:color w:val="auto"/>
        </w:rPr>
        <w:t xml:space="preserve">LAS VEGAS – February 26, 2025 – </w:t>
      </w:r>
      <w:r>
        <w:rPr>
          <w:rFonts w:ascii="Calibri" w:cs="Calibri" w:eastAsia="Calibri" w:hAnsi="Calibri"/>
          <w:sz w:val="22"/>
          <w:szCs w:val="22"/>
          <w:color w:val="auto"/>
        </w:rPr>
        <w:t>Southwest Gas Holdings, Inc. (NYSE: SWX) (“Southwest Gas Holdings” or “Company”) today</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reported fourth quarter 2024 consolidated net income of $92.5 million, or $1.28 per diluted share, and adjusted consolidated net income of $100.1 million, or $1.39 per diluted share. For the full-year ended December 31, 2024, consolidated net income was $198.8 million, or $2.76 per diluted share, and adjusted consolidated net income was $227.9 million, or $3.16 per diluted share. These results compared to consolidated net income of $72.9 million, or $1.01 per diluted share, and adjusted consolidated net income of $86.2 million, or $1.20 per diluted share for the fourth quarter of 2023, and consolidated net income of $150.9 million, or $2.13 per diluted share, and adjusted consolidated net income of $258.5 million, or $3.64 per diluted share, for the full year ended December 31, 2023.</w:t>
      </w:r>
    </w:p>
    <w:p>
      <w:pPr>
        <w:spacing w:after="0" w:line="129" w:lineRule="exact"/>
        <w:rPr>
          <w:sz w:val="20"/>
          <w:szCs w:val="20"/>
          <w:color w:val="auto"/>
        </w:rPr>
      </w:pPr>
    </w:p>
    <w:p>
      <w:pPr>
        <w:jc w:val="both"/>
        <w:spacing w:after="0" w:line="238" w:lineRule="auto"/>
        <w:rPr>
          <w:sz w:val="20"/>
          <w:szCs w:val="20"/>
          <w:color w:val="auto"/>
        </w:rPr>
      </w:pPr>
      <w:r>
        <w:rPr>
          <w:rFonts w:ascii="Calibri" w:cs="Calibri" w:eastAsia="Calibri" w:hAnsi="Calibri"/>
          <w:sz w:val="22"/>
          <w:szCs w:val="22"/>
          <w:color w:val="auto"/>
        </w:rPr>
        <w:t>The utlity, Southwest Gas Corporaton (“Southwest Gas”), reported fourth quarter 2024 net income of $97.2 million, and full-year 2024 net income of $261.2 million, compared to net income of $91.7 million and $242.2 million, respectvely, for the same periods in 2023. Adjusted Southwest Gas net income was $95.2 million and $248.6 million for the fourth quarter and full-year 2023, respectvely.</w:t>
      </w:r>
    </w:p>
    <w:p>
      <w:pPr>
        <w:spacing w:after="0" w:line="123" w:lineRule="exact"/>
        <w:rPr>
          <w:sz w:val="20"/>
          <w:szCs w:val="20"/>
          <w:color w:val="auto"/>
        </w:rPr>
      </w:pPr>
    </w:p>
    <w:p>
      <w:pPr>
        <w:jc w:val="both"/>
        <w:spacing w:after="0" w:line="238" w:lineRule="auto"/>
        <w:rPr>
          <w:sz w:val="20"/>
          <w:szCs w:val="20"/>
          <w:color w:val="auto"/>
        </w:rPr>
      </w:pPr>
      <w:r>
        <w:rPr>
          <w:rFonts w:ascii="Calibri" w:cs="Calibri" w:eastAsia="Calibri" w:hAnsi="Calibri"/>
          <w:sz w:val="22"/>
          <w:szCs w:val="22"/>
          <w:color w:val="auto"/>
        </w:rPr>
        <w:t>“In 2024, we made excellent progress advancing our strategic priorites, delivering improved outcomes for our stakeholders and contnuing our transformaton into a premier, pure-play natural gas utlity," said Karen Haller, President and Chief Executve Ofcer at Southwest Gas Holdings. “With the successful IPO of Centuri Holdings, Inc. and onboarding of Chris Brown as Centuri’s President and CEO, we remain focused on completng a full separaton efciently,” contnued Haller.</w:t>
      </w:r>
    </w:p>
    <w:p>
      <w:pPr>
        <w:spacing w:after="0" w:line="123" w:lineRule="exact"/>
        <w:rPr>
          <w:sz w:val="20"/>
          <w:szCs w:val="20"/>
          <w:color w:val="auto"/>
        </w:rPr>
      </w:pPr>
    </w:p>
    <w:p>
      <w:pPr>
        <w:jc w:val="both"/>
        <w:spacing w:after="0" w:line="238" w:lineRule="auto"/>
        <w:rPr>
          <w:sz w:val="20"/>
          <w:szCs w:val="20"/>
          <w:color w:val="auto"/>
        </w:rPr>
      </w:pPr>
      <w:r>
        <w:rPr>
          <w:rFonts w:ascii="Calibri" w:cs="Calibri" w:eastAsia="Calibri" w:hAnsi="Calibri"/>
          <w:sz w:val="22"/>
          <w:szCs w:val="22"/>
          <w:color w:val="auto"/>
        </w:rPr>
        <w:t>“At the utlity, we delivered net income growth of nearly 8% through the executon of our regulatory strategy, efectve cost management, and strong customer growth in our service territories. Our full-year 2024 utlity net income results were $18 million above the high end of our expected range. This net income growth resulted in contnued ROE improvement, with the utlity now having delivered above 8% ROE for the second straight year,” added Haller.</w:t>
      </w:r>
    </w:p>
    <w:p>
      <w:pPr>
        <w:spacing w:after="0" w:line="123"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color w:val="auto"/>
        </w:rPr>
        <w:t>“We expect outcomes of our currently pending rate cases to provide further incremental improvement to fnancial results going forward, refectng the value of the investments we have made to serve our customers and support economic actvity,” Haller contnued.</w:t>
      </w:r>
    </w:p>
    <w:p>
      <w:pPr>
        <w:spacing w:after="0" w:line="122"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color w:val="auto"/>
        </w:rPr>
        <w:t>“I am proud of our entre team’s hard work to ensure a safe and reliable natural gas system, execute our regulatory strategy, and move our transformaton forward over the past year. I am optmistc that these eforts will enable us to deliver on our commitments to all of our stakeholders, while contributng to our strong communites for years to come,” Haller concluded.</w:t>
      </w:r>
    </w:p>
    <w:p>
      <w:pPr>
        <w:sectPr>
          <w:pgSz w:w="11900" w:h="16838" w:orient="portrait"/>
          <w:cols w:equalWidth="0" w:num="1">
            <w:col w:w="11240"/>
          </w:cols>
          <w:pgMar w:left="320" w:top="1423" w:right="339" w:bottom="1440" w:gutter="0" w:footer="0" w:header="0"/>
        </w:sectPr>
      </w:pPr>
    </w:p>
    <w:bookmarkStart w:id="5" w:name="page6"/>
    <w:bookmarkEnd w:id="5"/>
    <w:p>
      <w:pPr>
        <w:spacing w:after="0"/>
        <w:rPr>
          <w:sz w:val="20"/>
          <w:szCs w:val="20"/>
          <w:color w:val="auto"/>
        </w:rPr>
      </w:pPr>
      <w:r>
        <w:rPr>
          <w:rFonts w:ascii="Calibri" w:cs="Calibri" w:eastAsia="Calibri" w:hAnsi="Calibri"/>
          <w:sz w:val="22"/>
          <w:szCs w:val="22"/>
          <w:b w:val="1"/>
          <w:bCs w:val="1"/>
          <w:color w:val="auto"/>
        </w:rPr>
        <w:t>2024 Southwest Gas Holdings Operatonal and Financial Highlights</w:t>
      </w:r>
    </w:p>
    <w:p>
      <w:pPr>
        <w:spacing w:after="0" w:line="120" w:lineRule="exact"/>
        <w:rPr>
          <w:sz w:val="20"/>
          <w:szCs w:val="20"/>
          <w:color w:val="auto"/>
        </w:rPr>
      </w:pPr>
    </w:p>
    <w:p>
      <w:pPr>
        <w:ind w:left="660" w:hanging="328"/>
        <w:spacing w:after="0" w:line="235" w:lineRule="auto"/>
        <w:tabs>
          <w:tab w:leader="none" w:pos="660" w:val="left"/>
        </w:tabs>
        <w:numPr>
          <w:ilvl w:val="0"/>
          <w:numId w:val="3"/>
        </w:numPr>
        <w:rPr>
          <w:rFonts w:ascii="Calibri" w:cs="Calibri" w:eastAsia="Calibri" w:hAnsi="Calibri"/>
          <w:sz w:val="22"/>
          <w:szCs w:val="22"/>
          <w:color w:val="auto"/>
        </w:rPr>
      </w:pPr>
      <w:r>
        <w:rPr>
          <w:rFonts w:ascii="Calibri" w:cs="Calibri" w:eastAsia="Calibri" w:hAnsi="Calibri"/>
          <w:sz w:val="22"/>
          <w:szCs w:val="22"/>
          <w:color w:val="auto"/>
        </w:rPr>
        <w:t>In April 2024, completed inital public ofering (“IPO”) of Centuri Holdings, Inc. (NYSE: CTRI) (“Centuri”) common stock, with net proceeds used primarily to repay a porton of Centuri debt;</w:t>
      </w:r>
    </w:p>
    <w:p>
      <w:pPr>
        <w:spacing w:after="0" w:line="122" w:lineRule="exact"/>
        <w:rPr>
          <w:rFonts w:ascii="Calibri" w:cs="Calibri" w:eastAsia="Calibri" w:hAnsi="Calibri"/>
          <w:sz w:val="22"/>
          <w:szCs w:val="22"/>
          <w:color w:val="auto"/>
        </w:rPr>
      </w:pPr>
    </w:p>
    <w:p>
      <w:pPr>
        <w:ind w:left="660" w:hanging="328"/>
        <w:spacing w:after="0" w:line="235" w:lineRule="auto"/>
        <w:tabs>
          <w:tab w:leader="none" w:pos="660" w:val="left"/>
        </w:tabs>
        <w:numPr>
          <w:ilvl w:val="0"/>
          <w:numId w:val="3"/>
        </w:numPr>
        <w:rPr>
          <w:rFonts w:ascii="Calibri" w:cs="Calibri" w:eastAsia="Calibri" w:hAnsi="Calibri"/>
          <w:sz w:val="22"/>
          <w:szCs w:val="22"/>
          <w:color w:val="auto"/>
        </w:rPr>
      </w:pPr>
      <w:r>
        <w:rPr>
          <w:rFonts w:ascii="Calibri" w:cs="Calibri" w:eastAsia="Calibri" w:hAnsi="Calibri"/>
          <w:sz w:val="22"/>
          <w:szCs w:val="22"/>
          <w:color w:val="auto"/>
        </w:rPr>
        <w:t>Finished 2024 with more than $360 million in cash, and have ample liquidity to address 2025 plans. Extended $550 million term loan credit agreement in the third quarter of 2024, which now matures on July 31, 2025;</w:t>
      </w:r>
    </w:p>
    <w:p>
      <w:pPr>
        <w:spacing w:after="0" w:line="122" w:lineRule="exact"/>
        <w:rPr>
          <w:rFonts w:ascii="Calibri" w:cs="Calibri" w:eastAsia="Calibri" w:hAnsi="Calibri"/>
          <w:sz w:val="22"/>
          <w:szCs w:val="22"/>
          <w:color w:val="auto"/>
        </w:rPr>
      </w:pPr>
    </w:p>
    <w:p>
      <w:pPr>
        <w:jc w:val="both"/>
        <w:ind w:left="660" w:hanging="328"/>
        <w:spacing w:after="0" w:line="237" w:lineRule="auto"/>
        <w:tabs>
          <w:tab w:leader="none" w:pos="660" w:val="left"/>
        </w:tabs>
        <w:numPr>
          <w:ilvl w:val="0"/>
          <w:numId w:val="3"/>
        </w:numPr>
        <w:rPr>
          <w:rFonts w:ascii="Calibri" w:cs="Calibri" w:eastAsia="Calibri" w:hAnsi="Calibri"/>
          <w:sz w:val="22"/>
          <w:szCs w:val="22"/>
          <w:color w:val="auto"/>
        </w:rPr>
      </w:pPr>
      <w:r>
        <w:rPr>
          <w:rFonts w:ascii="Calibri" w:cs="Calibri" w:eastAsia="Calibri" w:hAnsi="Calibri"/>
          <w:sz w:val="22"/>
          <w:szCs w:val="22"/>
          <w:color w:val="auto"/>
        </w:rPr>
        <w:t>$45.4 million lower overall net loss compared to the prior year. Full-year 2024 corporate and administratve expenses include $44.3 million in term loan and revolving credit facility-related interest expense and $8.2 million related to Centuri separaton costs;</w:t>
      </w:r>
    </w:p>
    <w:p>
      <w:pPr>
        <w:spacing w:after="0" w:line="122" w:lineRule="exact"/>
        <w:rPr>
          <w:rFonts w:ascii="Calibri" w:cs="Calibri" w:eastAsia="Calibri" w:hAnsi="Calibri"/>
          <w:sz w:val="22"/>
          <w:szCs w:val="22"/>
          <w:color w:val="auto"/>
        </w:rPr>
      </w:pPr>
    </w:p>
    <w:p>
      <w:pPr>
        <w:ind w:left="660" w:hanging="328"/>
        <w:spacing w:after="0" w:line="235" w:lineRule="auto"/>
        <w:tabs>
          <w:tab w:leader="none" w:pos="660" w:val="left"/>
        </w:tabs>
        <w:numPr>
          <w:ilvl w:val="0"/>
          <w:numId w:val="3"/>
        </w:numPr>
        <w:rPr>
          <w:rFonts w:ascii="Calibri" w:cs="Calibri" w:eastAsia="Calibri" w:hAnsi="Calibri"/>
          <w:sz w:val="22"/>
          <w:szCs w:val="22"/>
          <w:color w:val="auto"/>
        </w:rPr>
      </w:pPr>
      <w:r>
        <w:rPr>
          <w:rFonts w:ascii="Calibri" w:cs="Calibri" w:eastAsia="Calibri" w:hAnsi="Calibri"/>
          <w:sz w:val="22"/>
          <w:szCs w:val="22"/>
          <w:color w:val="auto"/>
        </w:rPr>
        <w:t>Non-GAAP adjustments to fourth quarter and full-year 2024 earnings primarily related to the amortzaton of intangible assets at Centuri and Centuri-related separaton costs.</w:t>
      </w:r>
    </w:p>
    <w:p>
      <w:pPr>
        <w:spacing w:after="0" w:line="11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SOUTHWEST GAS HOLDINGS,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SUMMARY OPERATING RESULTS</w:t>
      </w:r>
    </w:p>
    <w:p>
      <w:pPr>
        <w:spacing w:after="0" w:line="4"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(In thousands, except per share items)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tcPr>
          <w:p>
            <w:pPr>
              <w:ind w:left="20"/>
              <w:spacing w:after="0"/>
              <w:rPr>
                <w:sz w:val="20"/>
                <w:szCs w:val="20"/>
                <w:color w:val="auto"/>
              </w:rPr>
            </w:pPr>
            <w:r>
              <w:rPr>
                <w:rFonts w:ascii="Calibri" w:cs="Calibri" w:eastAsia="Calibri" w:hAnsi="Calibri"/>
                <w:sz w:val="18"/>
                <w:szCs w:val="18"/>
                <w:color w:val="auto"/>
              </w:rPr>
              <w:t>Three Months Ended December 31,</w:t>
            </w:r>
          </w:p>
        </w:tc>
        <w:tc>
          <w:tcPr>
            <w:tcW w:w="120" w:type="dxa"/>
            <w:vAlign w:val="bottom"/>
          </w:tcPr>
          <w:p>
            <w:pPr>
              <w:spacing w:after="0"/>
              <w:rPr>
                <w:sz w:val="19"/>
                <w:szCs w:val="19"/>
                <w:color w:val="auto"/>
              </w:rPr>
            </w:pPr>
          </w:p>
        </w:tc>
        <w:tc>
          <w:tcPr>
            <w:tcW w:w="2720" w:type="dxa"/>
            <w:vAlign w:val="bottom"/>
            <w:gridSpan w:val="4"/>
          </w:tcPr>
          <w:p>
            <w:pPr>
              <w:jc w:val="right"/>
              <w:ind w:right="10"/>
              <w:spacing w:after="0"/>
              <w:rPr>
                <w:sz w:val="20"/>
                <w:szCs w:val="20"/>
                <w:color w:val="auto"/>
              </w:rPr>
            </w:pPr>
            <w:r>
              <w:rPr>
                <w:rFonts w:ascii="Calibri" w:cs="Calibri" w:eastAsia="Calibri" w:hAnsi="Calibri"/>
                <w:sz w:val="18"/>
                <w:szCs w:val="18"/>
                <w:color w:val="auto"/>
                <w:w w:val="96"/>
              </w:rPr>
              <w:t>Twelve Months Ended December 31,</w:t>
            </w:r>
          </w:p>
        </w:tc>
      </w:tr>
      <w:tr>
        <w:trPr>
          <w:trHeight w:val="23"/>
        </w:trPr>
        <w:tc>
          <w:tcPr>
            <w:tcW w:w="5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line="215" w:lineRule="exact"/>
              <w:rPr>
                <w:sz w:val="20"/>
                <w:szCs w:val="20"/>
                <w:color w:val="auto"/>
              </w:rPr>
            </w:pPr>
            <w:r>
              <w:rPr>
                <w:rFonts w:ascii="Calibri" w:cs="Calibri" w:eastAsia="Calibri" w:hAnsi="Calibri"/>
                <w:sz w:val="18"/>
                <w:szCs w:val="18"/>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line="215" w:lineRule="exact"/>
              <w:rPr>
                <w:sz w:val="20"/>
                <w:szCs w:val="20"/>
                <w:color w:val="auto"/>
              </w:rPr>
            </w:pPr>
            <w:r>
              <w:rPr>
                <w:rFonts w:ascii="Calibri" w:cs="Calibri" w:eastAsia="Calibri" w:hAnsi="Calibri"/>
                <w:sz w:val="18"/>
                <w:szCs w:val="18"/>
                <w:color w:val="auto"/>
              </w:rPr>
              <w:t>2023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line="215" w:lineRule="exact"/>
              <w:rPr>
                <w:sz w:val="20"/>
                <w:szCs w:val="20"/>
                <w:color w:val="auto"/>
              </w:rPr>
            </w:pPr>
            <w:r>
              <w:rPr>
                <w:rFonts w:ascii="Calibri" w:cs="Calibri" w:eastAsia="Calibri" w:hAnsi="Calibri"/>
                <w:sz w:val="18"/>
                <w:szCs w:val="18"/>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line="215" w:lineRule="exact"/>
              <w:rPr>
                <w:sz w:val="20"/>
                <w:szCs w:val="20"/>
                <w:color w:val="auto"/>
              </w:rPr>
            </w:pPr>
            <w:r>
              <w:rPr>
                <w:rFonts w:ascii="Calibri" w:cs="Calibri" w:eastAsia="Calibri" w:hAnsi="Calibri"/>
                <w:sz w:val="18"/>
                <w:szCs w:val="18"/>
                <w:color w:val="auto"/>
              </w:rPr>
              <w:t>2023</w:t>
            </w:r>
          </w:p>
        </w:tc>
      </w:tr>
      <w:tr>
        <w:trPr>
          <w:trHeight w:val="216"/>
        </w:trPr>
        <w:tc>
          <w:tcPr>
            <w:tcW w:w="552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b w:val="1"/>
                <w:bCs w:val="1"/>
                <w:color w:val="auto"/>
              </w:rPr>
              <w:t>Results of Consolidated Operatons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Contributon to net income - natural gas distributon</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97,185</w:t>
            </w:r>
          </w:p>
        </w:tc>
        <w:tc>
          <w:tcPr>
            <w:tcW w:w="8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91,661</w:t>
            </w:r>
          </w:p>
        </w:tc>
        <w:tc>
          <w:tcPr>
            <w:tcW w:w="8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261,176</w:t>
            </w:r>
          </w:p>
        </w:tc>
        <w:tc>
          <w:tcPr>
            <w:tcW w:w="12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242,226</w:t>
            </w:r>
          </w:p>
        </w:tc>
      </w:tr>
      <w:tr>
        <w:trPr>
          <w:trHeight w:val="237"/>
        </w:trPr>
        <w:tc>
          <w:tcPr>
            <w:tcW w:w="55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Contributon to net income (loss) - utlity infrastructure services</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8,134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(5,250)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(13,086)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19,652</w:t>
            </w: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Contributon to net income (loss) - pipeline and storage</w:t>
            </w:r>
          </w:p>
        </w:tc>
        <w:tc>
          <w:tcPr>
            <w:tcW w:w="120" w:type="dxa"/>
            <w:vAlign w:val="bottom"/>
          </w:tcPr>
          <w:p>
            <w:pPr>
              <w:spacing w:after="0"/>
              <w:rPr>
                <w:sz w:val="19"/>
                <w:szCs w:val="19"/>
                <w:color w:val="auto"/>
              </w:rPr>
            </w:pPr>
          </w:p>
        </w:tc>
        <w:tc>
          <w:tcPr>
            <w:tcW w:w="13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(16,288)</w:t>
            </w:r>
          </w:p>
        </w:tc>
      </w:tr>
      <w:tr>
        <w:trPr>
          <w:trHeight w:val="230"/>
        </w:trPr>
        <w:tc>
          <w:tcPr>
            <w:tcW w:w="55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Corporate and administratve loss</w:t>
            </w: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(12,863)</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(13,542)</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(49,275)</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(94,701)</w:t>
            </w:r>
          </w:p>
        </w:tc>
      </w:tr>
      <w:tr>
        <w:trPr>
          <w:trHeight w:val="229"/>
        </w:trPr>
        <w:tc>
          <w:tcPr>
            <w:tcW w:w="5520" w:type="dxa"/>
            <w:vAlign w:val="bottom"/>
          </w:tcPr>
          <w:p>
            <w:pPr>
              <w:ind w:left="20"/>
              <w:spacing w:after="0"/>
              <w:rPr>
                <w:sz w:val="20"/>
                <w:szCs w:val="20"/>
                <w:color w:val="auto"/>
              </w:rPr>
            </w:pPr>
            <w:r>
              <w:rPr>
                <w:rFonts w:ascii="Calibri" w:cs="Calibri" w:eastAsia="Calibri" w:hAnsi="Calibri"/>
                <w:sz w:val="18"/>
                <w:szCs w:val="18"/>
                <w:color w:val="auto"/>
              </w:rPr>
              <w:t>Net income</w:t>
            </w:r>
          </w:p>
        </w:tc>
        <w:tc>
          <w:tcPr>
            <w:tcW w:w="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92,456</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72,869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198,815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150,889</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5520" w:type="dxa"/>
            <w:vAlign w:val="bottom"/>
            <w:shd w:val="clear" w:color="auto" w:fill="CCEEFF"/>
          </w:tcPr>
          <w:p>
            <w:pPr>
              <w:ind w:left="20"/>
              <w:spacing w:after="0" w:line="224" w:lineRule="exact"/>
              <w:rPr>
                <w:sz w:val="20"/>
                <w:szCs w:val="20"/>
                <w:color w:val="auto"/>
              </w:rPr>
            </w:pPr>
            <w:r>
              <w:rPr>
                <w:rFonts w:ascii="Calibri" w:cs="Calibri" w:eastAsia="Calibri" w:hAnsi="Calibri"/>
                <w:sz w:val="18"/>
                <w:szCs w:val="18"/>
                <w:color w:val="auto"/>
              </w:rPr>
              <w:t>Adjusted net income</w:t>
            </w:r>
            <w:r>
              <w:rPr>
                <w:rFonts w:ascii="Calibri" w:cs="Calibri" w:eastAsia="Calibri" w:hAnsi="Calibri"/>
                <w:sz w:val="23"/>
                <w:szCs w:val="23"/>
                <w:color w:val="auto"/>
                <w:vertAlign w:val="superscript"/>
              </w:rPr>
              <w:t>(1)</w:t>
            </w: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100,111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86,219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227,934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258,548</w:t>
            </w:r>
          </w:p>
        </w:tc>
      </w:tr>
      <w:tr>
        <w:trPr>
          <w:trHeight w:val="222"/>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Diluted earnings (loss) per share</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1.28</w:t>
            </w:r>
          </w:p>
        </w:tc>
        <w:tc>
          <w:tcPr>
            <w:tcW w:w="8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1.01</w:t>
            </w:r>
          </w:p>
        </w:tc>
        <w:tc>
          <w:tcPr>
            <w:tcW w:w="8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2.76</w:t>
            </w:r>
          </w:p>
        </w:tc>
        <w:tc>
          <w:tcPr>
            <w:tcW w:w="12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2.13</w:t>
            </w:r>
          </w:p>
        </w:tc>
      </w:tr>
      <w:tr>
        <w:trPr>
          <w:trHeight w:val="237"/>
        </w:trPr>
        <w:tc>
          <w:tcPr>
            <w:tcW w:w="552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Diluted adjusted earnings per share</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3.64</w:t>
            </w:r>
          </w:p>
        </w:tc>
      </w:tr>
      <w:tr>
        <w:trPr>
          <w:trHeight w:val="215"/>
        </w:trPr>
        <w:tc>
          <w:tcPr>
            <w:tcW w:w="552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 average diluted shares</w:t>
            </w:r>
          </w:p>
        </w:tc>
        <w:tc>
          <w:tcPr>
            <w:tcW w:w="12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72,141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71,916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72,032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70,990</w:t>
            </w:r>
          </w:p>
        </w:tc>
      </w:tr>
    </w:tbl>
    <w:p>
      <w:pPr>
        <w:spacing w:after="0" w:line="44" w:lineRule="exact"/>
        <w:rPr>
          <w:sz w:val="20"/>
          <w:szCs w:val="20"/>
          <w:color w:val="auto"/>
        </w:rPr>
      </w:pPr>
    </w:p>
    <w:p>
      <w:pPr>
        <w:ind w:left="140" w:hanging="132"/>
        <w:spacing w:after="0"/>
        <w:tabs>
          <w:tab w:leader="none" w:pos="140" w:val="left"/>
        </w:tabs>
        <w:numPr>
          <w:ilvl w:val="0"/>
          <w:numId w:val="4"/>
        </w:numPr>
        <w:rPr>
          <w:rFonts w:ascii="Calibri" w:cs="Calibri" w:eastAsia="Calibri" w:hAnsi="Calibri"/>
          <w:sz w:val="17"/>
          <w:szCs w:val="17"/>
          <w:i w:val="1"/>
          <w:iCs w:val="1"/>
          <w:color w:val="auto"/>
          <w:vertAlign w:val="superscript"/>
        </w:rPr>
      </w:pPr>
      <w:r>
        <w:rPr>
          <w:rFonts w:ascii="Calibri" w:cs="Calibri" w:eastAsia="Calibri" w:hAnsi="Calibri"/>
          <w:sz w:val="13"/>
          <w:szCs w:val="13"/>
          <w:i w:val="1"/>
          <w:iCs w:val="1"/>
          <w:color w:val="auto"/>
        </w:rPr>
        <w:t>For a reconciliaton of non-GAAP fnancial measure of Adjusted net income and its comparable GAAP measure of Net income (loss), see the table later in this press release.</w:t>
      </w:r>
    </w:p>
    <w:p>
      <w:pPr>
        <w:spacing w:after="0" w:line="102"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Business Segment Highlights</w:t>
      </w:r>
    </w:p>
    <w:p>
      <w:pPr>
        <w:spacing w:after="0" w:line="10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Southwest Gas / Natural Gas Distributon Segment Overview:</w:t>
      </w:r>
    </w:p>
    <w:p>
      <w:pPr>
        <w:spacing w:after="0" w:line="107" w:lineRule="exact"/>
        <w:rPr>
          <w:sz w:val="20"/>
          <w:szCs w:val="20"/>
          <w:color w:val="auto"/>
        </w:rPr>
      </w:pPr>
    </w:p>
    <w:p>
      <w:pPr>
        <w:ind w:left="660" w:hanging="328"/>
        <w:spacing w:after="0"/>
        <w:tabs>
          <w:tab w:leader="none" w:pos="660" w:val="left"/>
        </w:tabs>
        <w:numPr>
          <w:ilvl w:val="0"/>
          <w:numId w:val="5"/>
        </w:numPr>
        <w:rPr>
          <w:rFonts w:ascii="Calibri" w:cs="Calibri" w:eastAsia="Calibri" w:hAnsi="Calibri"/>
          <w:sz w:val="22"/>
          <w:szCs w:val="22"/>
          <w:color w:val="auto"/>
        </w:rPr>
      </w:pPr>
      <w:r>
        <w:rPr>
          <w:rFonts w:ascii="Calibri" w:cs="Calibri" w:eastAsia="Calibri" w:hAnsi="Calibri"/>
          <w:sz w:val="22"/>
          <w:szCs w:val="22"/>
          <w:color w:val="auto"/>
        </w:rPr>
        <w:t>Delivered utlity return on year-end equity of 8.1%;</w:t>
      </w:r>
    </w:p>
    <w:p>
      <w:pPr>
        <w:spacing w:after="0" w:line="109" w:lineRule="exact"/>
        <w:rPr>
          <w:rFonts w:ascii="Calibri" w:cs="Calibri" w:eastAsia="Calibri" w:hAnsi="Calibri"/>
          <w:sz w:val="22"/>
          <w:szCs w:val="22"/>
          <w:color w:val="auto"/>
        </w:rPr>
      </w:pPr>
    </w:p>
    <w:p>
      <w:pPr>
        <w:ind w:left="660" w:hanging="328"/>
        <w:spacing w:after="0"/>
        <w:tabs>
          <w:tab w:leader="none" w:pos="660" w:val="left"/>
        </w:tabs>
        <w:numPr>
          <w:ilvl w:val="0"/>
          <w:numId w:val="5"/>
        </w:numPr>
        <w:rPr>
          <w:rFonts w:ascii="Calibri" w:cs="Calibri" w:eastAsia="Calibri" w:hAnsi="Calibri"/>
          <w:sz w:val="22"/>
          <w:szCs w:val="22"/>
          <w:color w:val="auto"/>
        </w:rPr>
      </w:pPr>
      <w:r>
        <w:rPr>
          <w:rFonts w:ascii="Calibri" w:cs="Calibri" w:eastAsia="Calibri" w:hAnsi="Calibri"/>
          <w:sz w:val="22"/>
          <w:szCs w:val="22"/>
          <w:color w:val="auto"/>
        </w:rPr>
        <w:t>Approximately 41,000 new meter sets (1.8% growth rate) added during the 12 months ended December 31, 2024;</w:t>
      </w:r>
    </w:p>
    <w:p>
      <w:pPr>
        <w:spacing w:after="0" w:line="109" w:lineRule="exact"/>
        <w:rPr>
          <w:rFonts w:ascii="Calibri" w:cs="Calibri" w:eastAsia="Calibri" w:hAnsi="Calibri"/>
          <w:sz w:val="22"/>
          <w:szCs w:val="22"/>
          <w:color w:val="auto"/>
        </w:rPr>
      </w:pPr>
    </w:p>
    <w:p>
      <w:pPr>
        <w:ind w:left="660" w:hanging="328"/>
        <w:spacing w:after="0"/>
        <w:tabs>
          <w:tab w:leader="none" w:pos="660" w:val="left"/>
        </w:tabs>
        <w:numPr>
          <w:ilvl w:val="0"/>
          <w:numId w:val="5"/>
        </w:numPr>
        <w:rPr>
          <w:rFonts w:ascii="Calibri" w:cs="Calibri" w:eastAsia="Calibri" w:hAnsi="Calibri"/>
          <w:sz w:val="22"/>
          <w:szCs w:val="22"/>
          <w:color w:val="auto"/>
        </w:rPr>
      </w:pPr>
      <w:r>
        <w:rPr>
          <w:rFonts w:ascii="Calibri" w:cs="Calibri" w:eastAsia="Calibri" w:hAnsi="Calibri"/>
          <w:sz w:val="22"/>
          <w:szCs w:val="22"/>
          <w:color w:val="auto"/>
        </w:rPr>
        <w:t>Achieved full-year utlity gross margin of $0.7 billion and record annual operatng margin of $1.3 billion;</w:t>
      </w:r>
    </w:p>
    <w:p>
      <w:pPr>
        <w:spacing w:after="0" w:line="121" w:lineRule="exact"/>
        <w:rPr>
          <w:rFonts w:ascii="Calibri" w:cs="Calibri" w:eastAsia="Calibri" w:hAnsi="Calibri"/>
          <w:sz w:val="22"/>
          <w:szCs w:val="22"/>
          <w:color w:val="auto"/>
        </w:rPr>
      </w:pPr>
    </w:p>
    <w:p>
      <w:pPr>
        <w:ind w:left="660" w:right="20" w:hanging="328"/>
        <w:spacing w:after="0" w:line="235" w:lineRule="auto"/>
        <w:tabs>
          <w:tab w:leader="none" w:pos="660" w:val="left"/>
        </w:tabs>
        <w:numPr>
          <w:ilvl w:val="0"/>
          <w:numId w:val="5"/>
        </w:numPr>
        <w:rPr>
          <w:rFonts w:ascii="Calibri" w:cs="Calibri" w:eastAsia="Calibri" w:hAnsi="Calibri"/>
          <w:sz w:val="22"/>
          <w:szCs w:val="22"/>
          <w:color w:val="auto"/>
        </w:rPr>
      </w:pPr>
      <w:r>
        <w:rPr>
          <w:rFonts w:ascii="Calibri" w:cs="Calibri" w:eastAsia="Calibri" w:hAnsi="Calibri"/>
          <w:sz w:val="22"/>
          <w:szCs w:val="22"/>
          <w:color w:val="auto"/>
        </w:rPr>
        <w:t>In April 2024, annual revenue increase of ~$59 million approved in Nevada, which included an increase in allowed return on equity (9.5%) and an equity capitalizaton structure of 50%;</w:t>
      </w:r>
    </w:p>
    <w:p>
      <w:pPr>
        <w:sectPr>
          <w:pgSz w:w="11900" w:h="16838" w:orient="portrait"/>
          <w:cols w:equalWidth="0" w:num="1">
            <w:col w:w="11240"/>
          </w:cols>
          <w:pgMar w:left="320" w:top="1315" w:right="339" w:bottom="1440" w:gutter="0" w:footer="0" w:header="0"/>
        </w:sectPr>
      </w:pPr>
    </w:p>
    <w:bookmarkStart w:id="6" w:name="page7"/>
    <w:bookmarkEnd w:id="6"/>
    <w:p>
      <w:pPr>
        <w:ind w:left="660" w:hanging="328"/>
        <w:spacing w:after="0"/>
        <w:tabs>
          <w:tab w:leader="none" w:pos="660" w:val="left"/>
        </w:tabs>
        <w:numPr>
          <w:ilvl w:val="0"/>
          <w:numId w:val="6"/>
        </w:numPr>
        <w:rPr>
          <w:rFonts w:ascii="Calibri" w:cs="Calibri" w:eastAsia="Calibri" w:hAnsi="Calibri"/>
          <w:sz w:val="22"/>
          <w:szCs w:val="22"/>
          <w:color w:val="auto"/>
        </w:rPr>
      </w:pPr>
      <w:r>
        <w:rPr>
          <w:rFonts w:ascii="Calibri" w:cs="Calibri" w:eastAsia="Calibri" w:hAnsi="Calibri"/>
          <w:sz w:val="22"/>
          <w:szCs w:val="22"/>
          <w:color w:val="auto"/>
        </w:rPr>
        <w:t>Filed three rate cases:</w:t>
      </w:r>
    </w:p>
    <w:p>
      <w:pPr>
        <w:spacing w:after="0" w:line="107" w:lineRule="exact"/>
        <w:rPr>
          <w:rFonts w:ascii="Calibri" w:cs="Calibri" w:eastAsia="Calibri" w:hAnsi="Calibri"/>
          <w:sz w:val="22"/>
          <w:szCs w:val="22"/>
          <w:color w:val="auto"/>
        </w:rPr>
      </w:pPr>
    </w:p>
    <w:p>
      <w:pPr>
        <w:ind w:left="1300" w:hanging="320"/>
        <w:spacing w:after="0"/>
        <w:tabs>
          <w:tab w:leader="none" w:pos="1300" w:val="left"/>
        </w:tabs>
        <w:numPr>
          <w:ilvl w:val="1"/>
          <w:numId w:val="6"/>
        </w:numPr>
        <w:rPr>
          <w:rFonts w:ascii="Arial" w:cs="Arial" w:eastAsia="Arial" w:hAnsi="Arial"/>
          <w:sz w:val="22"/>
          <w:szCs w:val="22"/>
          <w:color w:val="auto"/>
        </w:rPr>
      </w:pPr>
      <w:r>
        <w:rPr>
          <w:rFonts w:ascii="Calibri" w:cs="Calibri" w:eastAsia="Calibri" w:hAnsi="Calibri"/>
          <w:sz w:val="22"/>
          <w:szCs w:val="22"/>
          <w:color w:val="auto"/>
        </w:rPr>
        <w:t>$126 million general rate case in Arizona in February 2024 (fnal decision expected March 2025);</w:t>
      </w:r>
    </w:p>
    <w:p>
      <w:pPr>
        <w:spacing w:after="0" w:line="111" w:lineRule="exact"/>
        <w:rPr>
          <w:rFonts w:ascii="Arial" w:cs="Arial" w:eastAsia="Arial" w:hAnsi="Arial"/>
          <w:sz w:val="22"/>
          <w:szCs w:val="22"/>
          <w:color w:val="auto"/>
        </w:rPr>
      </w:pPr>
    </w:p>
    <w:p>
      <w:pPr>
        <w:ind w:left="1300" w:hanging="320"/>
        <w:spacing w:after="0" w:line="211" w:lineRule="auto"/>
        <w:tabs>
          <w:tab w:leader="none" w:pos="1296" w:val="left"/>
        </w:tabs>
        <w:numPr>
          <w:ilvl w:val="1"/>
          <w:numId w:val="6"/>
        </w:numPr>
        <w:rPr>
          <w:rFonts w:ascii="Arial" w:cs="Arial" w:eastAsia="Arial" w:hAnsi="Arial"/>
          <w:sz w:val="22"/>
          <w:szCs w:val="22"/>
          <w:color w:val="auto"/>
        </w:rPr>
      </w:pPr>
      <w:r>
        <w:rPr>
          <w:rFonts w:ascii="Calibri" w:cs="Calibri" w:eastAsia="Calibri" w:hAnsi="Calibri"/>
          <w:sz w:val="22"/>
          <w:szCs w:val="22"/>
          <w:color w:val="auto"/>
        </w:rPr>
        <w:t>~$13 million</w:t>
      </w:r>
      <w:r>
        <w:rPr>
          <w:rFonts w:ascii="Calibri" w:cs="Calibri" w:eastAsia="Calibri" w:hAnsi="Calibri"/>
          <w:sz w:val="28"/>
          <w:szCs w:val="28"/>
          <w:color w:val="auto"/>
          <w:vertAlign w:val="superscript"/>
        </w:rPr>
        <w:t>1</w:t>
      </w:r>
      <w:r>
        <w:rPr>
          <w:rFonts w:ascii="Calibri" w:cs="Calibri" w:eastAsia="Calibri" w:hAnsi="Calibri"/>
          <w:sz w:val="22"/>
          <w:szCs w:val="22"/>
          <w:color w:val="auto"/>
        </w:rPr>
        <w:t xml:space="preserve"> general rate case for Great Basin in March 2024 (in efect September 2024, subject to refund, with fnal decision expected April 2025); and</w:t>
      </w:r>
    </w:p>
    <w:p>
      <w:pPr>
        <w:spacing w:after="0" w:line="121" w:lineRule="exact"/>
        <w:rPr>
          <w:rFonts w:ascii="Arial" w:cs="Arial" w:eastAsia="Arial" w:hAnsi="Arial"/>
          <w:sz w:val="22"/>
          <w:szCs w:val="22"/>
          <w:color w:val="auto"/>
        </w:rPr>
      </w:pPr>
    </w:p>
    <w:p>
      <w:pPr>
        <w:ind w:left="1300" w:hanging="320"/>
        <w:spacing w:after="0" w:line="235" w:lineRule="auto"/>
        <w:tabs>
          <w:tab w:leader="none" w:pos="1296" w:val="left"/>
        </w:tabs>
        <w:numPr>
          <w:ilvl w:val="1"/>
          <w:numId w:val="6"/>
        </w:numPr>
        <w:rPr>
          <w:rFonts w:ascii="Arial" w:cs="Arial" w:eastAsia="Arial" w:hAnsi="Arial"/>
          <w:sz w:val="22"/>
          <w:szCs w:val="22"/>
          <w:color w:val="auto"/>
        </w:rPr>
      </w:pPr>
      <w:r>
        <w:rPr>
          <w:rFonts w:ascii="Calibri" w:cs="Calibri" w:eastAsia="Calibri" w:hAnsi="Calibri"/>
          <w:sz w:val="22"/>
          <w:szCs w:val="22"/>
          <w:color w:val="auto"/>
        </w:rPr>
        <w:t>~$50 million general rate case in California in September 2024 (fnal decision expected end of 2025 and rates in efect in 2026);</w:t>
      </w:r>
    </w:p>
    <w:p>
      <w:pPr>
        <w:spacing w:after="0" w:line="122" w:lineRule="exact"/>
        <w:rPr>
          <w:rFonts w:ascii="Arial" w:cs="Arial" w:eastAsia="Arial" w:hAnsi="Arial"/>
          <w:sz w:val="22"/>
          <w:szCs w:val="22"/>
          <w:color w:val="auto"/>
        </w:rPr>
      </w:pPr>
    </w:p>
    <w:p>
      <w:pPr>
        <w:ind w:left="660" w:hanging="328"/>
        <w:spacing w:after="0" w:line="235" w:lineRule="auto"/>
        <w:tabs>
          <w:tab w:leader="none" w:pos="660" w:val="left"/>
        </w:tabs>
        <w:numPr>
          <w:ilvl w:val="0"/>
          <w:numId w:val="6"/>
        </w:numPr>
        <w:rPr>
          <w:rFonts w:ascii="Calibri" w:cs="Calibri" w:eastAsia="Calibri" w:hAnsi="Calibri"/>
          <w:sz w:val="22"/>
          <w:szCs w:val="22"/>
          <w:color w:val="auto"/>
        </w:rPr>
      </w:pPr>
      <w:r>
        <w:rPr>
          <w:rFonts w:ascii="Calibri" w:cs="Calibri" w:eastAsia="Calibri" w:hAnsi="Calibri"/>
          <w:sz w:val="22"/>
          <w:szCs w:val="22"/>
          <w:color w:val="auto"/>
        </w:rPr>
        <w:t>Operatons and maintenance (“O&amp;M”) expenses were fat, on a per customer basis, in 2024 as compared to 2023, refectve of cost discipline;</w:t>
      </w:r>
    </w:p>
    <w:p>
      <w:pPr>
        <w:spacing w:after="0" w:line="111" w:lineRule="exact"/>
        <w:rPr>
          <w:rFonts w:ascii="Calibri" w:cs="Calibri" w:eastAsia="Calibri" w:hAnsi="Calibri"/>
          <w:sz w:val="22"/>
          <w:szCs w:val="22"/>
          <w:color w:val="auto"/>
        </w:rPr>
      </w:pPr>
    </w:p>
    <w:p>
      <w:pPr>
        <w:ind w:left="660" w:hanging="328"/>
        <w:spacing w:after="0"/>
        <w:tabs>
          <w:tab w:leader="none" w:pos="660" w:val="left"/>
        </w:tabs>
        <w:numPr>
          <w:ilvl w:val="0"/>
          <w:numId w:val="6"/>
        </w:numPr>
        <w:rPr>
          <w:rFonts w:ascii="Calibri" w:cs="Calibri" w:eastAsia="Calibri" w:hAnsi="Calibri"/>
          <w:sz w:val="22"/>
          <w:szCs w:val="22"/>
          <w:color w:val="auto"/>
        </w:rPr>
      </w:pPr>
      <w:r>
        <w:rPr>
          <w:rFonts w:ascii="Calibri" w:cs="Calibri" w:eastAsia="Calibri" w:hAnsi="Calibri"/>
          <w:sz w:val="22"/>
          <w:szCs w:val="22"/>
          <w:color w:val="auto"/>
        </w:rPr>
        <w:t>$859 million capital investment (on an accrual basis) during 2024, a ~15% increase from 2023;</w:t>
      </w:r>
    </w:p>
    <w:p>
      <w:pPr>
        <w:spacing w:after="0" w:line="109" w:lineRule="exact"/>
        <w:rPr>
          <w:rFonts w:ascii="Calibri" w:cs="Calibri" w:eastAsia="Calibri" w:hAnsi="Calibri"/>
          <w:sz w:val="22"/>
          <w:szCs w:val="22"/>
          <w:color w:val="auto"/>
        </w:rPr>
      </w:pPr>
    </w:p>
    <w:p>
      <w:pPr>
        <w:ind w:left="660" w:hanging="328"/>
        <w:spacing w:after="0"/>
        <w:tabs>
          <w:tab w:leader="none" w:pos="660" w:val="left"/>
        </w:tabs>
        <w:numPr>
          <w:ilvl w:val="0"/>
          <w:numId w:val="6"/>
        </w:numPr>
        <w:rPr>
          <w:rFonts w:ascii="Calibri" w:cs="Calibri" w:eastAsia="Calibri" w:hAnsi="Calibri"/>
          <w:sz w:val="22"/>
          <w:szCs w:val="22"/>
          <w:color w:val="auto"/>
        </w:rPr>
      </w:pPr>
      <w:r>
        <w:rPr>
          <w:rFonts w:ascii="Calibri" w:cs="Calibri" w:eastAsia="Calibri" w:hAnsi="Calibri"/>
          <w:sz w:val="22"/>
          <w:szCs w:val="22"/>
          <w:color w:val="auto"/>
        </w:rPr>
        <w:t>Fully recovered deferred purchased gas cost balances from the winter of 2022-2023;</w:t>
      </w:r>
    </w:p>
    <w:p>
      <w:pPr>
        <w:spacing w:after="0" w:line="109" w:lineRule="exact"/>
        <w:rPr>
          <w:rFonts w:ascii="Calibri" w:cs="Calibri" w:eastAsia="Calibri" w:hAnsi="Calibri"/>
          <w:sz w:val="22"/>
          <w:szCs w:val="22"/>
          <w:color w:val="auto"/>
        </w:rPr>
      </w:pPr>
    </w:p>
    <w:p>
      <w:pPr>
        <w:ind w:left="660" w:hanging="328"/>
        <w:spacing w:after="0"/>
        <w:tabs>
          <w:tab w:leader="none" w:pos="660" w:val="left"/>
        </w:tabs>
        <w:numPr>
          <w:ilvl w:val="0"/>
          <w:numId w:val="6"/>
        </w:numPr>
        <w:rPr>
          <w:rFonts w:ascii="Calibri" w:cs="Calibri" w:eastAsia="Calibri" w:hAnsi="Calibri"/>
          <w:sz w:val="22"/>
          <w:szCs w:val="22"/>
          <w:color w:val="auto"/>
        </w:rPr>
      </w:pPr>
      <w:r>
        <w:rPr>
          <w:rFonts w:ascii="Calibri" w:cs="Calibri" w:eastAsia="Calibri" w:hAnsi="Calibri"/>
          <w:sz w:val="22"/>
          <w:szCs w:val="22"/>
          <w:color w:val="auto"/>
        </w:rPr>
        <w:t>Finished the year with $311 million in cash;</w:t>
      </w:r>
    </w:p>
    <w:p>
      <w:pPr>
        <w:spacing w:after="0" w:line="109" w:lineRule="exact"/>
        <w:rPr>
          <w:rFonts w:ascii="Calibri" w:cs="Calibri" w:eastAsia="Calibri" w:hAnsi="Calibri"/>
          <w:sz w:val="22"/>
          <w:szCs w:val="22"/>
          <w:color w:val="auto"/>
        </w:rPr>
      </w:pPr>
    </w:p>
    <w:p>
      <w:pPr>
        <w:ind w:left="660" w:hanging="328"/>
        <w:spacing w:after="0"/>
        <w:tabs>
          <w:tab w:leader="none" w:pos="660" w:val="left"/>
        </w:tabs>
        <w:numPr>
          <w:ilvl w:val="0"/>
          <w:numId w:val="6"/>
        </w:numPr>
        <w:rPr>
          <w:rFonts w:ascii="Calibri" w:cs="Calibri" w:eastAsia="Calibri" w:hAnsi="Calibri"/>
          <w:sz w:val="22"/>
          <w:szCs w:val="22"/>
          <w:color w:val="auto"/>
        </w:rPr>
      </w:pPr>
      <w:r>
        <w:rPr>
          <w:rFonts w:ascii="Calibri" w:cs="Calibri" w:eastAsia="Calibri" w:hAnsi="Calibri"/>
          <w:sz w:val="22"/>
          <w:szCs w:val="22"/>
          <w:color w:val="auto"/>
        </w:rPr>
        <w:t>Extended $400 million revolving credit facility to August 2029;</w:t>
      </w:r>
    </w:p>
    <w:p>
      <w:pPr>
        <w:spacing w:after="0" w:line="120" w:lineRule="exact"/>
        <w:rPr>
          <w:rFonts w:ascii="Calibri" w:cs="Calibri" w:eastAsia="Calibri" w:hAnsi="Calibri"/>
          <w:sz w:val="22"/>
          <w:szCs w:val="22"/>
          <w:color w:val="auto"/>
        </w:rPr>
      </w:pPr>
    </w:p>
    <w:p>
      <w:pPr>
        <w:ind w:left="660" w:hanging="328"/>
        <w:spacing w:after="0" w:line="230" w:lineRule="auto"/>
        <w:tabs>
          <w:tab w:leader="none" w:pos="660" w:val="left"/>
        </w:tabs>
        <w:numPr>
          <w:ilvl w:val="0"/>
          <w:numId w:val="6"/>
        </w:numPr>
        <w:rPr>
          <w:rFonts w:ascii="Calibri" w:cs="Calibri" w:eastAsia="Calibri" w:hAnsi="Calibri"/>
          <w:sz w:val="22"/>
          <w:szCs w:val="22"/>
          <w:color w:val="auto"/>
        </w:rPr>
      </w:pPr>
      <w:r>
        <w:rPr>
          <w:rFonts w:ascii="Calibri" w:cs="Calibri" w:eastAsia="Calibri" w:hAnsi="Calibri"/>
          <w:sz w:val="22"/>
          <w:szCs w:val="22"/>
          <w:color w:val="auto"/>
        </w:rPr>
        <w:t>#1 in Customer Satsfacton with Residental Natural Gas Service in the West among Large Utlites by J.D. Power 5 years in a row</w:t>
      </w:r>
      <w:r>
        <w:rPr>
          <w:rFonts w:ascii="Calibri" w:cs="Calibri" w:eastAsia="Calibri" w:hAnsi="Calibri"/>
          <w:sz w:val="28"/>
          <w:szCs w:val="28"/>
          <w:color w:val="auto"/>
          <w:vertAlign w:val="superscript"/>
        </w:rPr>
        <w:t>2</w:t>
      </w:r>
      <w:r>
        <w:rPr>
          <w:rFonts w:ascii="Calibri" w:cs="Calibri" w:eastAsia="Calibri" w:hAnsi="Calibri"/>
          <w:sz w:val="22"/>
          <w:szCs w:val="22"/>
          <w:color w:val="auto"/>
        </w:rPr>
        <w:t>.</w:t>
      </w:r>
    </w:p>
    <w:p>
      <w:pPr>
        <w:spacing w:after="0" w:line="5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Southwest Gas / Natural Gas Distributon - Fourth Quarter 2024</w:t>
      </w:r>
    </w:p>
    <w:p>
      <w:pPr>
        <w:spacing w:after="0" w:line="122" w:lineRule="exact"/>
        <w:rPr>
          <w:sz w:val="20"/>
          <w:szCs w:val="20"/>
          <w:color w:val="auto"/>
        </w:rPr>
      </w:pPr>
    </w:p>
    <w:p>
      <w:pPr>
        <w:jc w:val="both"/>
        <w:spacing w:after="0" w:line="238" w:lineRule="auto"/>
        <w:rPr>
          <w:sz w:val="20"/>
          <w:szCs w:val="20"/>
          <w:color w:val="auto"/>
        </w:rPr>
      </w:pPr>
      <w:r>
        <w:rPr>
          <w:rFonts w:ascii="Calibri" w:cs="Calibri" w:eastAsia="Calibri" w:hAnsi="Calibri"/>
          <w:sz w:val="22"/>
          <w:szCs w:val="22"/>
          <w:color w:val="auto"/>
        </w:rPr>
        <w:t>The natural gas distributon segment recorded net income of $97.2 million in the fourth quarter of 2024, compared to net income of $91.7 million and adjusted net income of $95.2 million in the fourth quarter of 2023. This increase was driven primarily by increases in operatng margin and lower O&amp;M expense, partally ofset by lower other income, higher depreciaton and amortzaton expenses, and higher interest expense.</w:t>
      </w:r>
    </w:p>
    <w:p>
      <w:pPr>
        <w:spacing w:after="0" w:line="112" w:lineRule="exact"/>
        <w:rPr>
          <w:sz w:val="20"/>
          <w:szCs w:val="20"/>
          <w:color w:val="auto"/>
        </w:rPr>
      </w:pPr>
    </w:p>
    <w:p>
      <w:pPr>
        <w:spacing w:after="0"/>
        <w:rPr>
          <w:sz w:val="20"/>
          <w:szCs w:val="20"/>
          <w:color w:val="auto"/>
        </w:rPr>
      </w:pPr>
      <w:r>
        <w:rPr>
          <w:rFonts w:ascii="Calibri" w:cs="Calibri" w:eastAsia="Calibri" w:hAnsi="Calibri"/>
          <w:sz w:val="22"/>
          <w:szCs w:val="22"/>
          <w:color w:val="auto"/>
        </w:rPr>
        <w:t>Key drivers of fourth quarter 2024 performance as compared to fourth quarter 2023 performance include:</w:t>
      </w:r>
    </w:p>
    <w:p>
      <w:pPr>
        <w:spacing w:after="0" w:line="120" w:lineRule="exact"/>
        <w:rPr>
          <w:sz w:val="20"/>
          <w:szCs w:val="20"/>
          <w:color w:val="auto"/>
        </w:rPr>
      </w:pPr>
    </w:p>
    <w:p>
      <w:pPr>
        <w:jc w:val="both"/>
        <w:ind w:left="660" w:hanging="328"/>
        <w:spacing w:after="0" w:line="253" w:lineRule="auto"/>
        <w:tabs>
          <w:tab w:leader="none" w:pos="660" w:val="left"/>
        </w:tabs>
        <w:numPr>
          <w:ilvl w:val="0"/>
          <w:numId w:val="7"/>
        </w:numPr>
        <w:rPr>
          <w:rFonts w:ascii="Calibri" w:cs="Calibri" w:eastAsia="Calibri" w:hAnsi="Calibri"/>
          <w:sz w:val="21"/>
          <w:szCs w:val="21"/>
          <w:color w:val="auto"/>
        </w:rPr>
      </w:pPr>
      <w:r>
        <w:rPr>
          <w:rFonts w:ascii="Calibri" w:cs="Calibri" w:eastAsia="Calibri" w:hAnsi="Calibri"/>
          <w:sz w:val="21"/>
          <w:szCs w:val="21"/>
          <w:color w:val="auto"/>
        </w:rPr>
        <w:t>Increased operatng margin by $30 million compared to the fourth quarter 2023, primarily driven by ~$22 million related to new general rates in Nevada (efectve April 2024) to recover costs and investments made on behalf of customers through October 2023, and to a lesser extent, the California atriton increase. Customer growth resulted in ~$3 million of increased margin quarter-over-quarter. The remainder of margin improvement relates primarily to revenue associated with the impacts of certain rate components of infrastructure trackers, the Nevada variable interest expense rate mechanism, and a $2.6 million unfavorable out-of-period adjustment related to net cost of gas sold;</w:t>
      </w:r>
    </w:p>
    <w:p>
      <w:pPr>
        <w:spacing w:after="0" w:line="106" w:lineRule="exact"/>
        <w:rPr>
          <w:rFonts w:ascii="Calibri" w:cs="Calibri" w:eastAsia="Calibri" w:hAnsi="Calibri"/>
          <w:sz w:val="21"/>
          <w:szCs w:val="21"/>
          <w:color w:val="auto"/>
        </w:rPr>
      </w:pPr>
    </w:p>
    <w:p>
      <w:pPr>
        <w:jc w:val="both"/>
        <w:ind w:left="660" w:hanging="328"/>
        <w:spacing w:after="0" w:line="237" w:lineRule="auto"/>
        <w:tabs>
          <w:tab w:leader="none" w:pos="660" w:val="left"/>
        </w:tabs>
        <w:numPr>
          <w:ilvl w:val="0"/>
          <w:numId w:val="7"/>
        </w:numPr>
        <w:rPr>
          <w:rFonts w:ascii="Calibri" w:cs="Calibri" w:eastAsia="Calibri" w:hAnsi="Calibri"/>
          <w:sz w:val="22"/>
          <w:szCs w:val="22"/>
          <w:color w:val="auto"/>
        </w:rPr>
      </w:pPr>
      <w:r>
        <w:rPr>
          <w:rFonts w:ascii="Calibri" w:cs="Calibri" w:eastAsia="Calibri" w:hAnsi="Calibri"/>
          <w:sz w:val="22"/>
          <w:szCs w:val="22"/>
          <w:color w:val="auto"/>
        </w:rPr>
        <w:t>A $2.9 million decrease in O&amp;M expense compared to the fourth quarter of 2023, primarily related to reducton in other contractor and professional services. These decreases, along with others, were partally ofset by general cost increases in a variety of areas, including leak survey and line locatng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5" w:lineRule="exact"/>
        <w:rPr>
          <w:sz w:val="20"/>
          <w:szCs w:val="20"/>
          <w:color w:val="auto"/>
        </w:rPr>
      </w:pPr>
    </w:p>
    <w:p>
      <w:pPr>
        <w:ind w:left="100" w:hanging="92"/>
        <w:spacing w:after="0"/>
        <w:tabs>
          <w:tab w:leader="none" w:pos="100" w:val="left"/>
        </w:tabs>
        <w:numPr>
          <w:ilvl w:val="0"/>
          <w:numId w:val="8"/>
        </w:numPr>
        <w:rPr>
          <w:rFonts w:ascii="Calibri" w:cs="Calibri" w:eastAsia="Calibri" w:hAnsi="Calibri"/>
          <w:sz w:val="23"/>
          <w:szCs w:val="23"/>
          <w:color w:val="auto"/>
          <w:vertAlign w:val="superscript"/>
        </w:rPr>
      </w:pPr>
      <w:r>
        <w:rPr>
          <w:rFonts w:ascii="Calibri" w:cs="Calibri" w:eastAsia="Calibri" w:hAnsi="Calibri"/>
          <w:sz w:val="18"/>
          <w:szCs w:val="18"/>
          <w:color w:val="auto"/>
        </w:rPr>
        <w:t>Updated to refect actual costs as of August 2024; original revenue increase requested was $16 million</w:t>
      </w:r>
    </w:p>
    <w:p>
      <w:pPr>
        <w:spacing w:after="0" w:line="17" w:lineRule="exact"/>
        <w:rPr>
          <w:sz w:val="20"/>
          <w:szCs w:val="20"/>
          <w:color w:val="auto"/>
        </w:rPr>
      </w:pPr>
    </w:p>
    <w:p>
      <w:pPr>
        <w:ind w:right="120" w:firstLine="8"/>
        <w:spacing w:after="0" w:line="196" w:lineRule="auto"/>
        <w:tabs>
          <w:tab w:leader="none" w:pos="99" w:val="left"/>
        </w:tabs>
        <w:numPr>
          <w:ilvl w:val="0"/>
          <w:numId w:val="9"/>
        </w:numPr>
        <w:rPr>
          <w:rFonts w:ascii="Calibri" w:cs="Calibri" w:eastAsia="Calibri" w:hAnsi="Calibri"/>
          <w:sz w:val="23"/>
          <w:szCs w:val="23"/>
          <w:color w:val="auto"/>
          <w:vertAlign w:val="superscript"/>
        </w:rPr>
      </w:pPr>
      <w:r>
        <w:rPr>
          <w:rFonts w:ascii="Calibri" w:cs="Calibri" w:eastAsia="Calibri" w:hAnsi="Calibri"/>
          <w:sz w:val="18"/>
          <w:szCs w:val="18"/>
          <w:color w:val="auto"/>
        </w:rPr>
        <w:t>Southwest Gas received the highest score in the West Large segment (serving 400,000 or more residental customers) of the J.D. Power 2020-2024 U.S. Gas Utlity Residental Customer Satsfacton Studies of customers’ satsfacton natonally among gas residental customers. Visit jdpower.com/awards for more details.</w:t>
      </w:r>
    </w:p>
    <w:p>
      <w:pPr>
        <w:sectPr>
          <w:pgSz w:w="11900" w:h="16838" w:orient="portrait"/>
          <w:cols w:equalWidth="0" w:num="1">
            <w:col w:w="11240"/>
          </w:cols>
          <w:pgMar w:left="320" w:top="1315" w:right="339" w:bottom="1440" w:gutter="0" w:footer="0" w:header="0"/>
        </w:sectPr>
      </w:pPr>
    </w:p>
    <w:bookmarkStart w:id="7" w:name="page8"/>
    <w:bookmarkEnd w:id="7"/>
    <w:p>
      <w:pPr>
        <w:ind w:left="660" w:hanging="328"/>
        <w:spacing w:after="0" w:line="235" w:lineRule="auto"/>
        <w:tabs>
          <w:tab w:leader="none" w:pos="660" w:val="left"/>
        </w:tabs>
        <w:numPr>
          <w:ilvl w:val="0"/>
          <w:numId w:val="10"/>
        </w:numPr>
        <w:rPr>
          <w:rFonts w:ascii="Calibri" w:cs="Calibri" w:eastAsia="Calibri" w:hAnsi="Calibri"/>
          <w:sz w:val="22"/>
          <w:szCs w:val="22"/>
          <w:color w:val="auto"/>
        </w:rPr>
      </w:pPr>
      <w:r>
        <w:rPr>
          <w:rFonts w:ascii="Calibri" w:cs="Calibri" w:eastAsia="Calibri" w:hAnsi="Calibri"/>
          <w:sz w:val="22"/>
          <w:szCs w:val="22"/>
          <w:color w:val="auto"/>
        </w:rPr>
        <w:t>Depreciaton and amortzaton increased $5.7 million compared to the fourth quarter of 2023 due to a 7.6% increase in average gas plant in service, as well as higher regulatory account amortzaton ($1.8 million);</w:t>
      </w:r>
    </w:p>
    <w:p>
      <w:pPr>
        <w:spacing w:after="0" w:line="122" w:lineRule="exact"/>
        <w:rPr>
          <w:rFonts w:ascii="Calibri" w:cs="Calibri" w:eastAsia="Calibri" w:hAnsi="Calibri"/>
          <w:sz w:val="22"/>
          <w:szCs w:val="22"/>
          <w:color w:val="auto"/>
        </w:rPr>
      </w:pPr>
    </w:p>
    <w:p>
      <w:pPr>
        <w:jc w:val="both"/>
        <w:ind w:left="660" w:hanging="328"/>
        <w:spacing w:after="0" w:line="239" w:lineRule="auto"/>
        <w:tabs>
          <w:tab w:leader="none" w:pos="660" w:val="left"/>
        </w:tabs>
        <w:numPr>
          <w:ilvl w:val="0"/>
          <w:numId w:val="10"/>
        </w:numPr>
        <w:rPr>
          <w:rFonts w:ascii="Calibri" w:cs="Calibri" w:eastAsia="Calibri" w:hAnsi="Calibri"/>
          <w:sz w:val="22"/>
          <w:szCs w:val="22"/>
          <w:color w:val="auto"/>
        </w:rPr>
      </w:pPr>
      <w:r>
        <w:rPr>
          <w:rFonts w:ascii="Calibri" w:cs="Calibri" w:eastAsia="Calibri" w:hAnsi="Calibri"/>
          <w:sz w:val="22"/>
          <w:szCs w:val="22"/>
          <w:color w:val="auto"/>
        </w:rPr>
        <w:t>Other income decreased $13.6 million compared to the fourth quarter of 2023, driven by a $4.6 million decrease in interest income related to carrying charges associated with regulatory account balances, including the purchased gas adjustment (“PGA”) mechanisms (which was partally ofset by higher interest earned on elevated comparable cash balances), a $4.7 million decrease in Company-owned Life Insurance (“COLI”) results, and a $0.8 million decrease in the allowance for equity funds used during constructon, along with higher donatons and other deductons. These decreases were partally ofset by a $3.1 million prior year loss on the dispositon of a company property and $1.0 million lower non-service-related components of employee pension and other postretrement beneft costs;</w:t>
      </w:r>
    </w:p>
    <w:p>
      <w:pPr>
        <w:spacing w:after="0" w:line="125" w:lineRule="exact"/>
        <w:rPr>
          <w:rFonts w:ascii="Calibri" w:cs="Calibri" w:eastAsia="Calibri" w:hAnsi="Calibri"/>
          <w:sz w:val="22"/>
          <w:szCs w:val="22"/>
          <w:color w:val="auto"/>
        </w:rPr>
      </w:pPr>
    </w:p>
    <w:p>
      <w:pPr>
        <w:ind w:left="660" w:right="20" w:hanging="328"/>
        <w:spacing w:after="0" w:line="235" w:lineRule="auto"/>
        <w:tabs>
          <w:tab w:leader="none" w:pos="660" w:val="left"/>
        </w:tabs>
        <w:numPr>
          <w:ilvl w:val="0"/>
          <w:numId w:val="10"/>
        </w:numPr>
        <w:rPr>
          <w:rFonts w:ascii="Calibri" w:cs="Calibri" w:eastAsia="Calibri" w:hAnsi="Calibri"/>
          <w:sz w:val="22"/>
          <w:szCs w:val="22"/>
          <w:color w:val="auto"/>
        </w:rPr>
      </w:pPr>
      <w:r>
        <w:rPr>
          <w:rFonts w:ascii="Calibri" w:cs="Calibri" w:eastAsia="Calibri" w:hAnsi="Calibri"/>
          <w:sz w:val="22"/>
          <w:szCs w:val="22"/>
          <w:color w:val="auto"/>
        </w:rPr>
        <w:t>Interest expense increased $5.3 million compared to the fourth quarter of 2023, due to higher variable debt costs, including interest expense accrued associated with regulatory account balances, including the PGA mechanisms;</w:t>
      </w:r>
    </w:p>
    <w:p>
      <w:pPr>
        <w:spacing w:after="0" w:line="122" w:lineRule="exact"/>
        <w:rPr>
          <w:rFonts w:ascii="Calibri" w:cs="Calibri" w:eastAsia="Calibri" w:hAnsi="Calibri"/>
          <w:sz w:val="22"/>
          <w:szCs w:val="22"/>
          <w:color w:val="auto"/>
        </w:rPr>
      </w:pPr>
    </w:p>
    <w:p>
      <w:pPr>
        <w:ind w:left="660" w:hanging="328"/>
        <w:spacing w:after="0"/>
        <w:tabs>
          <w:tab w:leader="none" w:pos="660" w:val="left"/>
        </w:tabs>
        <w:numPr>
          <w:ilvl w:val="0"/>
          <w:numId w:val="10"/>
        </w:numPr>
        <w:rPr>
          <w:rFonts w:ascii="Calibri" w:cs="Calibri" w:eastAsia="Calibri" w:hAnsi="Calibri"/>
          <w:sz w:val="21"/>
          <w:szCs w:val="21"/>
          <w:color w:val="auto"/>
        </w:rPr>
      </w:pPr>
      <w:r>
        <w:rPr>
          <w:rFonts w:ascii="Calibri" w:cs="Calibri" w:eastAsia="Calibri" w:hAnsi="Calibri"/>
          <w:sz w:val="21"/>
          <w:szCs w:val="21"/>
          <w:color w:val="auto"/>
        </w:rPr>
        <w:t>Income tax expense was $1.5 million higher compared to the fourth quarter of 2023 due to higher pre-tax income; and</w:t>
      </w:r>
    </w:p>
    <w:p>
      <w:pPr>
        <w:spacing w:after="0" w:line="121" w:lineRule="exact"/>
        <w:rPr>
          <w:rFonts w:ascii="Calibri" w:cs="Calibri" w:eastAsia="Calibri" w:hAnsi="Calibri"/>
          <w:sz w:val="21"/>
          <w:szCs w:val="21"/>
          <w:color w:val="auto"/>
        </w:rPr>
      </w:pPr>
    </w:p>
    <w:p>
      <w:pPr>
        <w:jc w:val="both"/>
        <w:ind w:left="660" w:hanging="328"/>
        <w:spacing w:after="0" w:line="237" w:lineRule="auto"/>
        <w:tabs>
          <w:tab w:leader="none" w:pos="660" w:val="left"/>
        </w:tabs>
        <w:numPr>
          <w:ilvl w:val="0"/>
          <w:numId w:val="10"/>
        </w:numPr>
        <w:rPr>
          <w:rFonts w:ascii="Calibri" w:cs="Calibri" w:eastAsia="Calibri" w:hAnsi="Calibri"/>
          <w:sz w:val="22"/>
          <w:szCs w:val="22"/>
          <w:color w:val="auto"/>
        </w:rPr>
      </w:pPr>
      <w:r>
        <w:rPr>
          <w:rFonts w:ascii="Calibri" w:cs="Calibri" w:eastAsia="Calibri" w:hAnsi="Calibri"/>
          <w:sz w:val="22"/>
          <w:szCs w:val="22"/>
          <w:color w:val="auto"/>
        </w:rPr>
        <w:t>The recorded fourth quarter 2024 earnings did not include any adjustments, while adjustments to recorded fourth quarter 2023 earnings included ~$4 million of collectve afer-tax consultng fees related to the utlity cost optmizaton initatve.</w:t>
      </w:r>
    </w:p>
    <w:p>
      <w:pPr>
        <w:spacing w:after="0" w:line="11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Southwest Gas / Natural Gas Distributon - Full Year 2024</w:t>
      </w:r>
    </w:p>
    <w:p>
      <w:pPr>
        <w:spacing w:after="0" w:line="122" w:lineRule="exact"/>
        <w:rPr>
          <w:sz w:val="20"/>
          <w:szCs w:val="20"/>
          <w:color w:val="auto"/>
        </w:rPr>
      </w:pPr>
    </w:p>
    <w:p>
      <w:pPr>
        <w:jc w:val="both"/>
        <w:spacing w:after="0" w:line="238" w:lineRule="auto"/>
        <w:rPr>
          <w:sz w:val="20"/>
          <w:szCs w:val="20"/>
          <w:color w:val="auto"/>
        </w:rPr>
      </w:pPr>
      <w:r>
        <w:rPr>
          <w:rFonts w:ascii="Calibri" w:cs="Calibri" w:eastAsia="Calibri" w:hAnsi="Calibri"/>
          <w:sz w:val="22"/>
          <w:szCs w:val="22"/>
          <w:color w:val="auto"/>
        </w:rPr>
        <w:t>The natural gas distributon segment recorded net income of $261.2 million in 2024, compared to net income of $242.2 million and adjusted net income of $248.6 million in 2023. This increase was driven primarily by increases in operatng margin, partly ofset by lower other income and COLI results, higher interest expense, depreciaton and amortzaton expenses, O&amp;M expense, and income tax expense.</w:t>
      </w:r>
    </w:p>
    <w:p>
      <w:pPr>
        <w:spacing w:after="0" w:line="112" w:lineRule="exact"/>
        <w:rPr>
          <w:sz w:val="20"/>
          <w:szCs w:val="20"/>
          <w:color w:val="auto"/>
        </w:rPr>
      </w:pPr>
    </w:p>
    <w:p>
      <w:pPr>
        <w:spacing w:after="0"/>
        <w:rPr>
          <w:sz w:val="20"/>
          <w:szCs w:val="20"/>
          <w:color w:val="auto"/>
        </w:rPr>
      </w:pPr>
      <w:r>
        <w:rPr>
          <w:rFonts w:ascii="Calibri" w:cs="Calibri" w:eastAsia="Calibri" w:hAnsi="Calibri"/>
          <w:sz w:val="22"/>
          <w:szCs w:val="22"/>
          <w:color w:val="auto"/>
        </w:rPr>
        <w:t>Key drivers of 2024 performance as compared to 2023 include:</w:t>
      </w:r>
    </w:p>
    <w:p>
      <w:pPr>
        <w:spacing w:after="0" w:line="120" w:lineRule="exact"/>
        <w:rPr>
          <w:sz w:val="20"/>
          <w:szCs w:val="20"/>
          <w:color w:val="auto"/>
        </w:rPr>
      </w:pPr>
    </w:p>
    <w:p>
      <w:pPr>
        <w:jc w:val="both"/>
        <w:ind w:left="660" w:hanging="328"/>
        <w:spacing w:after="0"/>
        <w:tabs>
          <w:tab w:leader="none" w:pos="660" w:val="left"/>
        </w:tabs>
        <w:numPr>
          <w:ilvl w:val="0"/>
          <w:numId w:val="11"/>
        </w:numPr>
        <w:rPr>
          <w:rFonts w:ascii="Calibri" w:cs="Calibri" w:eastAsia="Calibri" w:hAnsi="Calibri"/>
          <w:sz w:val="22"/>
          <w:szCs w:val="22"/>
          <w:color w:val="auto"/>
        </w:rPr>
      </w:pPr>
      <w:r>
        <w:rPr>
          <w:rFonts w:ascii="Calibri" w:cs="Calibri" w:eastAsia="Calibri" w:hAnsi="Calibri"/>
          <w:sz w:val="22"/>
          <w:szCs w:val="22"/>
          <w:color w:val="auto"/>
        </w:rPr>
        <w:t>Increased operatng margin by $72.5 million compared to 2023. Customer growth provided approximately $12 million as approximately 41,000 frst-tme meter sets were added in 2024, and combined rate relief across all our service territories added approximately $66 million of incremental margin. Favorable impacts ($9.2 million, combined) were also realized in connecton with certain rate components of infrastructure trackers and the Nevada variable interest rate expense mechanism. Furthermore, late fee assessments on customer account balances provided approximately $3 million in incremental margin. Ofsetng these increases was a decrease in recoveries associated with regulatory programs, totaling $6.8 million for which an associated comparable decrease is also refected in amortzaton expense (discussed below). In additon, certain immaterial out-of-period correctons occurred in both 2023 and 2024 resultng in an unfavorable variance between comparatve periods, primarily driven by an $8 million favorable adjustment in 2023. Customary gas used in operatons (the efects of which are ofset in O&amp;M expense) also reduced operatng margin ($4 million);</w:t>
      </w:r>
    </w:p>
    <w:p>
      <w:pPr>
        <w:spacing w:after="0" w:line="123" w:lineRule="exact"/>
        <w:rPr>
          <w:rFonts w:ascii="Calibri" w:cs="Calibri" w:eastAsia="Calibri" w:hAnsi="Calibri"/>
          <w:sz w:val="22"/>
          <w:szCs w:val="22"/>
          <w:color w:val="auto"/>
        </w:rPr>
      </w:pPr>
    </w:p>
    <w:p>
      <w:pPr>
        <w:ind w:left="660" w:hanging="328"/>
        <w:spacing w:after="0" w:line="235" w:lineRule="auto"/>
        <w:tabs>
          <w:tab w:leader="none" w:pos="660" w:val="left"/>
        </w:tabs>
        <w:numPr>
          <w:ilvl w:val="0"/>
          <w:numId w:val="11"/>
        </w:numPr>
        <w:rPr>
          <w:rFonts w:ascii="Calibri" w:cs="Calibri" w:eastAsia="Calibri" w:hAnsi="Calibri"/>
          <w:sz w:val="22"/>
          <w:szCs w:val="22"/>
          <w:color w:val="auto"/>
        </w:rPr>
      </w:pPr>
      <w:r>
        <w:rPr>
          <w:rFonts w:ascii="Calibri" w:cs="Calibri" w:eastAsia="Calibri" w:hAnsi="Calibri"/>
          <w:sz w:val="22"/>
          <w:szCs w:val="22"/>
          <w:color w:val="auto"/>
        </w:rPr>
        <w:t>A $9.2 million, or 1.8%, increase in O&amp;M expense compared to 2023, which is fat on a per customer basis. The slightly higher O&amp;M expense was primarily driven by higher direct labor and leak survey and</w:t>
      </w:r>
    </w:p>
    <w:p>
      <w:pPr>
        <w:sectPr>
          <w:pgSz w:w="11900" w:h="16838" w:orient="portrait"/>
          <w:cols w:equalWidth="0" w:num="1">
            <w:col w:w="11240"/>
          </w:cols>
          <w:pgMar w:left="320" w:top="1326" w:right="339" w:bottom="1440" w:gutter="0" w:footer="0" w:header="0"/>
        </w:sectPr>
      </w:pPr>
    </w:p>
    <w:bookmarkStart w:id="8" w:name="page9"/>
    <w:bookmarkEnd w:id="8"/>
    <w:p>
      <w:pPr>
        <w:ind w:left="660"/>
        <w:spacing w:after="0" w:line="235" w:lineRule="auto"/>
        <w:rPr>
          <w:sz w:val="20"/>
          <w:szCs w:val="20"/>
          <w:color w:val="auto"/>
        </w:rPr>
      </w:pPr>
      <w:r>
        <w:rPr>
          <w:rFonts w:ascii="Calibri" w:cs="Calibri" w:eastAsia="Calibri" w:hAnsi="Calibri"/>
          <w:sz w:val="22"/>
          <w:szCs w:val="22"/>
          <w:color w:val="auto"/>
        </w:rPr>
        <w:t>line locatng actvites partally ofset by lower external and professional services (the majority of which related to utlity optmizaton consultng fees in 2023);</w:t>
      </w:r>
    </w:p>
    <w:p>
      <w:pPr>
        <w:spacing w:after="0" w:line="122" w:lineRule="exact"/>
        <w:rPr>
          <w:sz w:val="20"/>
          <w:szCs w:val="20"/>
          <w:color w:val="auto"/>
        </w:rPr>
      </w:pPr>
    </w:p>
    <w:p>
      <w:pPr>
        <w:jc w:val="both"/>
        <w:ind w:left="660" w:hanging="328"/>
        <w:spacing w:after="0" w:line="238" w:lineRule="auto"/>
        <w:tabs>
          <w:tab w:leader="none" w:pos="660" w:val="left"/>
        </w:tabs>
        <w:numPr>
          <w:ilvl w:val="0"/>
          <w:numId w:val="12"/>
        </w:numPr>
        <w:rPr>
          <w:rFonts w:ascii="Calibri" w:cs="Calibri" w:eastAsia="Calibri" w:hAnsi="Calibri"/>
          <w:sz w:val="22"/>
          <w:szCs w:val="22"/>
          <w:color w:val="auto"/>
        </w:rPr>
      </w:pPr>
      <w:r>
        <w:rPr>
          <w:rFonts w:ascii="Calibri" w:cs="Calibri" w:eastAsia="Calibri" w:hAnsi="Calibri"/>
          <w:sz w:val="22"/>
          <w:szCs w:val="22"/>
          <w:color w:val="auto"/>
        </w:rPr>
        <w:t>Depreciaton and amortzaton increased $7.6 million, or 2.6%, year-over-year, including from a $720 million, or 7.4%, increase in average gas plant in service compared to 2023, partally ofset by $6.8 million lower regulatory account amortzaton when compared to the prior year. The increase in gas plant in service was atributable to pipeline capacity reinforcement work, franchise requirements, scheduled pipe replacement actvites, and new infrastructure;</w:t>
      </w:r>
    </w:p>
    <w:p>
      <w:pPr>
        <w:spacing w:after="0" w:line="122" w:lineRule="exact"/>
        <w:rPr>
          <w:rFonts w:ascii="Calibri" w:cs="Calibri" w:eastAsia="Calibri" w:hAnsi="Calibri"/>
          <w:sz w:val="22"/>
          <w:szCs w:val="22"/>
          <w:color w:val="auto"/>
        </w:rPr>
      </w:pPr>
    </w:p>
    <w:p>
      <w:pPr>
        <w:jc w:val="both"/>
        <w:ind w:left="660" w:hanging="328"/>
        <w:spacing w:after="0" w:line="238" w:lineRule="auto"/>
        <w:tabs>
          <w:tab w:leader="none" w:pos="660" w:val="left"/>
        </w:tabs>
        <w:numPr>
          <w:ilvl w:val="0"/>
          <w:numId w:val="12"/>
        </w:numPr>
        <w:rPr>
          <w:rFonts w:ascii="Calibri" w:cs="Calibri" w:eastAsia="Calibri" w:hAnsi="Calibri"/>
          <w:sz w:val="22"/>
          <w:szCs w:val="22"/>
          <w:color w:val="auto"/>
        </w:rPr>
      </w:pPr>
      <w:r>
        <w:rPr>
          <w:rFonts w:ascii="Calibri" w:cs="Calibri" w:eastAsia="Calibri" w:hAnsi="Calibri"/>
          <w:sz w:val="22"/>
          <w:szCs w:val="22"/>
          <w:color w:val="auto"/>
        </w:rPr>
        <w:t>Other income decreased $16.4 million compared to 2023, refectng $17.2 million lower interest income, primarily related to carrying charges associated with the reducton in the deferred purchased gas cost balance and interest on other regulatory account balances (which was partally ofset by higher interest earned on elevated comparable cash balances);</w:t>
      </w:r>
    </w:p>
    <w:p>
      <w:pPr>
        <w:spacing w:after="0" w:line="122" w:lineRule="exact"/>
        <w:rPr>
          <w:rFonts w:ascii="Calibri" w:cs="Calibri" w:eastAsia="Calibri" w:hAnsi="Calibri"/>
          <w:sz w:val="22"/>
          <w:szCs w:val="22"/>
          <w:color w:val="auto"/>
        </w:rPr>
      </w:pPr>
    </w:p>
    <w:p>
      <w:pPr>
        <w:jc w:val="both"/>
        <w:ind w:left="660" w:hanging="328"/>
        <w:spacing w:after="0" w:line="237" w:lineRule="auto"/>
        <w:tabs>
          <w:tab w:leader="none" w:pos="660" w:val="left"/>
        </w:tabs>
        <w:numPr>
          <w:ilvl w:val="0"/>
          <w:numId w:val="12"/>
        </w:numPr>
        <w:rPr>
          <w:rFonts w:ascii="Calibri" w:cs="Calibri" w:eastAsia="Calibri" w:hAnsi="Calibri"/>
          <w:sz w:val="22"/>
          <w:szCs w:val="22"/>
          <w:color w:val="auto"/>
        </w:rPr>
      </w:pPr>
      <w:r>
        <w:rPr>
          <w:rFonts w:ascii="Calibri" w:cs="Calibri" w:eastAsia="Calibri" w:hAnsi="Calibri"/>
          <w:sz w:val="22"/>
          <w:szCs w:val="22"/>
          <w:color w:val="auto"/>
        </w:rPr>
        <w:t>Interest expense increased $12.4 million compared to 2023, due to higher variable debt costs, as well as interest expense accrued associated with regulatory account balances, including the PGA mechanisms as well as the higher debt component of the allowance for funds used during constructon;</w:t>
      </w:r>
    </w:p>
    <w:p>
      <w:pPr>
        <w:spacing w:after="0" w:line="111" w:lineRule="exact"/>
        <w:rPr>
          <w:rFonts w:ascii="Calibri" w:cs="Calibri" w:eastAsia="Calibri" w:hAnsi="Calibri"/>
          <w:sz w:val="22"/>
          <w:szCs w:val="22"/>
          <w:color w:val="auto"/>
        </w:rPr>
      </w:pPr>
    </w:p>
    <w:p>
      <w:pPr>
        <w:ind w:left="660" w:hanging="328"/>
        <w:spacing w:after="0"/>
        <w:tabs>
          <w:tab w:leader="none" w:pos="660" w:val="left"/>
        </w:tabs>
        <w:numPr>
          <w:ilvl w:val="0"/>
          <w:numId w:val="12"/>
        </w:numPr>
        <w:rPr>
          <w:rFonts w:ascii="Calibri" w:cs="Calibri" w:eastAsia="Calibri" w:hAnsi="Calibri"/>
          <w:sz w:val="22"/>
          <w:szCs w:val="22"/>
          <w:color w:val="auto"/>
        </w:rPr>
      </w:pPr>
      <w:r>
        <w:rPr>
          <w:rFonts w:ascii="Calibri" w:cs="Calibri" w:eastAsia="Calibri" w:hAnsi="Calibri"/>
          <w:sz w:val="22"/>
          <w:szCs w:val="22"/>
          <w:color w:val="auto"/>
        </w:rPr>
        <w:t>Income tax expense was $6.3 million higher in 2024 compared to 2023 due to higher pre-tax income; and</w:t>
      </w:r>
    </w:p>
    <w:p>
      <w:pPr>
        <w:spacing w:after="0" w:line="120" w:lineRule="exact"/>
        <w:rPr>
          <w:rFonts w:ascii="Calibri" w:cs="Calibri" w:eastAsia="Calibri" w:hAnsi="Calibri"/>
          <w:sz w:val="22"/>
          <w:szCs w:val="22"/>
          <w:color w:val="auto"/>
        </w:rPr>
      </w:pPr>
    </w:p>
    <w:p>
      <w:pPr>
        <w:ind w:left="660" w:hanging="328"/>
        <w:spacing w:after="0" w:line="235" w:lineRule="auto"/>
        <w:tabs>
          <w:tab w:leader="none" w:pos="660" w:val="left"/>
        </w:tabs>
        <w:numPr>
          <w:ilvl w:val="0"/>
          <w:numId w:val="12"/>
        </w:numPr>
        <w:rPr>
          <w:rFonts w:ascii="Calibri" w:cs="Calibri" w:eastAsia="Calibri" w:hAnsi="Calibri"/>
          <w:sz w:val="22"/>
          <w:szCs w:val="22"/>
          <w:color w:val="auto"/>
        </w:rPr>
      </w:pPr>
      <w:r>
        <w:rPr>
          <w:rFonts w:ascii="Calibri" w:cs="Calibri" w:eastAsia="Calibri" w:hAnsi="Calibri"/>
          <w:sz w:val="22"/>
          <w:szCs w:val="22"/>
          <w:color w:val="auto"/>
        </w:rPr>
        <w:t>The recorded 2024 earnings did not include any adjustments, while adjustments to recorded full year 2023 recorded earnings included $6.3 million of collectve afer-tax consultng fees related to the utlity optmizaton initatve.</w:t>
      </w:r>
    </w:p>
    <w:p>
      <w:pPr>
        <w:sectPr>
          <w:pgSz w:w="11900" w:h="16838" w:orient="portrait"/>
          <w:cols w:equalWidth="0" w:num="1">
            <w:col w:w="11240"/>
          </w:cols>
          <w:pgMar w:left="320" w:top="1326" w:right="339" w:bottom="1440" w:gutter="0" w:footer="0" w:header="0"/>
        </w:sectPr>
      </w:pPr>
    </w:p>
    <w:p>
      <w:pPr>
        <w:spacing w:after="0" w:line="11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Southwest Gas / Natural Gas Distributon Segment Guidance and Outlook:</w:t>
      </w:r>
    </w:p>
    <w:p>
      <w:pPr>
        <w:spacing w:after="0" w:line="133" w:lineRule="exact"/>
        <w:rPr>
          <w:sz w:val="20"/>
          <w:szCs w:val="20"/>
          <w:color w:val="auto"/>
        </w:rPr>
      </w:pPr>
    </w:p>
    <w:p>
      <w:pPr>
        <w:spacing w:after="0"/>
        <w:rPr>
          <w:sz w:val="20"/>
          <w:szCs w:val="20"/>
          <w:color w:val="auto"/>
        </w:rPr>
      </w:pPr>
      <w:r>
        <w:rPr>
          <w:rFonts w:ascii="Calibri" w:cs="Calibri" w:eastAsia="Calibri" w:hAnsi="Calibri"/>
          <w:sz w:val="21"/>
          <w:szCs w:val="21"/>
          <w:color w:val="auto"/>
        </w:rPr>
        <w:t>The Company has initated the following forward-looking guidance for Southwest Gas, as follows:</w:t>
      </w:r>
    </w:p>
    <w:p>
      <w:pPr>
        <w:spacing w:after="0" w:line="163" w:lineRule="exact"/>
        <w:rPr>
          <w:sz w:val="20"/>
          <w:szCs w:val="20"/>
          <w:color w:val="auto"/>
        </w:rPr>
      </w:pPr>
    </w:p>
    <w:p>
      <w:pPr>
        <w:ind w:left="20"/>
        <w:spacing w:after="0"/>
        <w:rPr>
          <w:sz w:val="20"/>
          <w:szCs w:val="20"/>
          <w:color w:val="auto"/>
        </w:rPr>
      </w:pPr>
      <w:r>
        <w:rPr>
          <w:rFonts w:ascii="Calibri" w:cs="Calibri" w:eastAsia="Calibri" w:hAnsi="Calibri"/>
          <w:sz w:val="22"/>
          <w:szCs w:val="22"/>
          <w:color w:val="auto"/>
        </w:rPr>
        <w:t>(in millions,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5554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ind w:left="20"/>
        <w:spacing w:after="0" w:line="238" w:lineRule="auto"/>
        <w:rPr>
          <w:sz w:val="20"/>
          <w:szCs w:val="20"/>
          <w:color w:val="auto"/>
        </w:rPr>
      </w:pPr>
      <w:r>
        <w:rPr>
          <w:rFonts w:ascii="Calibri" w:cs="Calibri" w:eastAsia="Calibri" w:hAnsi="Calibri"/>
          <w:sz w:val="22"/>
          <w:szCs w:val="22"/>
          <w:color w:val="auto"/>
        </w:rPr>
        <w:t>2025 Southwest Gas net income guidance</w:t>
      </w:r>
      <w:r>
        <w:rPr>
          <w:rFonts w:ascii="Calibri" w:cs="Calibri" w:eastAsia="Calibri" w:hAnsi="Calibri"/>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20" w:right="580"/>
        <w:spacing w:after="0" w:line="193" w:lineRule="auto"/>
        <w:rPr>
          <w:sz w:val="20"/>
          <w:szCs w:val="20"/>
          <w:color w:val="auto"/>
        </w:rPr>
      </w:pPr>
      <w:r>
        <w:rPr>
          <w:rFonts w:ascii="Calibri" w:cs="Calibri" w:eastAsia="Calibri" w:hAnsi="Calibri"/>
          <w:sz w:val="22"/>
          <w:szCs w:val="22"/>
          <w:color w:val="auto"/>
        </w:rPr>
        <w:t>2025 Capital expenditures in support of customer growth, system improvements, and pipe replacement programs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00"/>
        <w:spacing w:after="0"/>
        <w:rPr>
          <w:sz w:val="20"/>
          <w:szCs w:val="20"/>
          <w:color w:val="auto"/>
        </w:rPr>
      </w:pPr>
      <w:r>
        <w:rPr>
          <w:rFonts w:ascii="Calibri" w:cs="Calibri" w:eastAsia="Calibri" w:hAnsi="Calibri"/>
          <w:sz w:val="22"/>
          <w:szCs w:val="22"/>
          <w:b w:val="1"/>
          <w:bCs w:val="1"/>
          <w:color w:val="auto"/>
        </w:rPr>
        <w:t>Current Estmates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-161290</wp:posOffset>
            </wp:positionV>
            <wp:extent cx="15259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jc w:val="center"/>
        <w:ind w:right="400"/>
        <w:spacing w:after="0"/>
        <w:rPr>
          <w:sz w:val="20"/>
          <w:szCs w:val="20"/>
          <w:color w:val="auto"/>
        </w:rPr>
      </w:pPr>
      <w:r>
        <w:rPr>
          <w:rFonts w:ascii="Calibri" w:cs="Calibri" w:eastAsia="Calibri" w:hAnsi="Calibri"/>
          <w:sz w:val="22"/>
          <w:szCs w:val="22"/>
          <w:color w:val="auto"/>
        </w:rPr>
        <w:t>$265 - $275</w:t>
      </w:r>
    </w:p>
    <w:p>
      <w:pPr>
        <w:spacing w:after="0" w:line="109" w:lineRule="exact"/>
        <w:rPr>
          <w:sz w:val="20"/>
          <w:szCs w:val="20"/>
          <w:color w:val="auto"/>
        </w:rPr>
      </w:pPr>
    </w:p>
    <w:p>
      <w:pPr>
        <w:ind w:left="520"/>
        <w:spacing w:after="0"/>
        <w:rPr>
          <w:sz w:val="20"/>
          <w:szCs w:val="20"/>
          <w:color w:val="auto"/>
        </w:rPr>
      </w:pPr>
      <w:r>
        <w:rPr>
          <w:rFonts w:ascii="Calibri" w:cs="Calibri" w:eastAsia="Calibri" w:hAnsi="Calibri"/>
          <w:sz w:val="22"/>
          <w:szCs w:val="22"/>
          <w:color w:val="auto"/>
        </w:rPr>
        <w:t>~$880</w:t>
      </w:r>
    </w:p>
    <w:p>
      <w:pPr>
        <w:spacing w:after="0" w:line="108" w:lineRule="exact"/>
        <w:rPr>
          <w:sz w:val="20"/>
          <w:szCs w:val="20"/>
          <w:color w:val="auto"/>
        </w:rPr>
      </w:pPr>
    </w:p>
    <w:p>
      <w:pPr>
        <w:sectPr>
          <w:pgSz w:w="11900" w:h="16838" w:orient="portrait"/>
          <w:cols w:equalWidth="0" w:num="2">
            <w:col w:w="8520" w:space="720"/>
            <w:col w:w="2000"/>
          </w:cols>
          <w:pgMar w:left="320" w:top="1326" w:right="339" w:bottom="1440" w:gutter="0" w:footer="0" w:header="0"/>
          <w:type w:val="continuous"/>
        </w:sectPr>
      </w:pPr>
    </w:p>
    <w:tbl>
      <w:tblPr>
        <w:tblLayout w:type="fixed"/>
        <w:tblInd w:w="0" w:type="dxa"/>
        <w:tblCellMar>
          <w:top w:w="0" w:type="dxa"/>
          <w:left w:w="0" w:type="dxa"/>
          <w:bottom w:w="0" w:type="dxa"/>
          <w:right w:w="0" w:type="dxa"/>
        </w:tblCellMar>
      </w:tblPr>
      <w:tr>
        <w:trPr>
          <w:trHeight w:val="297"/>
        </w:trPr>
        <w:tc>
          <w:tcPr>
            <w:tcW w:w="480" w:type="dxa"/>
            <w:vAlign w:val="bottom"/>
            <w:shd w:val="clear" w:color="auto" w:fill="CCEEFF"/>
          </w:tcPr>
          <w:p>
            <w:pPr>
              <w:jc w:val="right"/>
              <w:spacing w:after="0"/>
              <w:rPr>
                <w:sz w:val="20"/>
                <w:szCs w:val="20"/>
                <w:color w:val="auto"/>
              </w:rPr>
            </w:pPr>
            <w:r>
              <w:rPr>
                <w:rFonts w:ascii="Calibri" w:cs="Calibri" w:eastAsia="Calibri" w:hAnsi="Calibri"/>
                <w:sz w:val="22"/>
                <w:szCs w:val="22"/>
                <w:color w:val="auto"/>
                <w:w w:val="98"/>
              </w:rPr>
              <w:t>2025</w:t>
            </w:r>
          </w:p>
        </w:tc>
        <w:tc>
          <w:tcPr>
            <w:tcW w:w="6760" w:type="dxa"/>
            <w:vAlign w:val="bottom"/>
            <w:shd w:val="clear" w:color="auto" w:fill="CCEEFF"/>
          </w:tcPr>
          <w:p>
            <w:pPr>
              <w:ind w:left="40"/>
              <w:spacing w:after="0" w:line="297" w:lineRule="exact"/>
              <w:rPr>
                <w:sz w:val="20"/>
                <w:szCs w:val="20"/>
                <w:color w:val="auto"/>
              </w:rPr>
            </w:pPr>
            <w:r>
              <w:rPr>
                <w:rFonts w:ascii="Calibri" w:cs="Calibri" w:eastAsia="Calibri" w:hAnsi="Calibri"/>
                <w:sz w:val="22"/>
                <w:szCs w:val="22"/>
                <w:color w:val="auto"/>
              </w:rPr>
              <w:t>- 2029 Southwest Gas adjusted net income CAGR</w:t>
            </w:r>
            <w:r>
              <w:rPr>
                <w:rFonts w:ascii="Calibri" w:cs="Calibri" w:eastAsia="Calibri" w:hAnsi="Calibri"/>
                <w:sz w:val="28"/>
                <w:szCs w:val="28"/>
                <w:color w:val="auto"/>
                <w:vertAlign w:val="superscript"/>
              </w:rPr>
              <w:t>(2)</w:t>
            </w:r>
          </w:p>
        </w:tc>
        <w:tc>
          <w:tcPr>
            <w:tcW w:w="4000" w:type="dxa"/>
            <w:vAlign w:val="bottom"/>
            <w:shd w:val="clear" w:color="auto" w:fill="CCEEFF"/>
          </w:tcPr>
          <w:p>
            <w:pPr>
              <w:jc w:val="center"/>
              <w:ind w:left="1472"/>
              <w:spacing w:after="0"/>
              <w:rPr>
                <w:sz w:val="20"/>
                <w:szCs w:val="20"/>
                <w:color w:val="auto"/>
              </w:rPr>
            </w:pPr>
            <w:r>
              <w:rPr>
                <w:rFonts w:ascii="Calibri" w:cs="Calibri" w:eastAsia="Calibri" w:hAnsi="Calibri"/>
                <w:sz w:val="22"/>
                <w:szCs w:val="22"/>
                <w:color w:val="auto"/>
                <w:w w:val="98"/>
              </w:rPr>
              <w:t>6.0% - 8.0%</w:t>
            </w:r>
          </w:p>
        </w:tc>
      </w:tr>
      <w:tr>
        <w:trPr>
          <w:trHeight w:val="264"/>
        </w:trPr>
        <w:tc>
          <w:tcPr>
            <w:tcW w:w="480" w:type="dxa"/>
            <w:vAlign w:val="bottom"/>
          </w:tcPr>
          <w:p>
            <w:pPr>
              <w:jc w:val="right"/>
              <w:spacing w:after="0" w:line="258" w:lineRule="exact"/>
              <w:rPr>
                <w:sz w:val="20"/>
                <w:szCs w:val="20"/>
                <w:color w:val="auto"/>
              </w:rPr>
            </w:pPr>
            <w:r>
              <w:rPr>
                <w:rFonts w:ascii="Calibri" w:cs="Calibri" w:eastAsia="Calibri" w:hAnsi="Calibri"/>
                <w:sz w:val="22"/>
                <w:szCs w:val="22"/>
                <w:color w:val="auto"/>
                <w:w w:val="98"/>
              </w:rPr>
              <w:t>2025</w:t>
            </w:r>
          </w:p>
        </w:tc>
        <w:tc>
          <w:tcPr>
            <w:tcW w:w="6760" w:type="dxa"/>
            <w:vAlign w:val="bottom"/>
          </w:tcPr>
          <w:p>
            <w:pPr>
              <w:ind w:left="40"/>
              <w:spacing w:after="0" w:line="258" w:lineRule="exact"/>
              <w:rPr>
                <w:sz w:val="20"/>
                <w:szCs w:val="20"/>
                <w:color w:val="auto"/>
              </w:rPr>
            </w:pPr>
            <w:r>
              <w:rPr>
                <w:rFonts w:ascii="Calibri" w:cs="Calibri" w:eastAsia="Calibri" w:hAnsi="Calibri"/>
                <w:sz w:val="22"/>
                <w:szCs w:val="22"/>
                <w:color w:val="auto"/>
              </w:rPr>
              <w:t>- 2029 Capital expenditures</w:t>
            </w:r>
          </w:p>
        </w:tc>
        <w:tc>
          <w:tcPr>
            <w:tcW w:w="4000" w:type="dxa"/>
            <w:vAlign w:val="bottom"/>
          </w:tcPr>
          <w:p>
            <w:pPr>
              <w:jc w:val="center"/>
              <w:ind w:left="1492"/>
              <w:spacing w:after="0" w:line="258" w:lineRule="exact"/>
              <w:rPr>
                <w:sz w:val="20"/>
                <w:szCs w:val="20"/>
                <w:color w:val="auto"/>
              </w:rPr>
            </w:pPr>
            <w:r>
              <w:rPr>
                <w:rFonts w:ascii="Calibri" w:cs="Calibri" w:eastAsia="Calibri" w:hAnsi="Calibri"/>
                <w:sz w:val="22"/>
                <w:szCs w:val="22"/>
                <w:color w:val="auto"/>
                <w:w w:val="97"/>
              </w:rPr>
              <w:t>$4,300</w:t>
            </w:r>
          </w:p>
        </w:tc>
      </w:tr>
      <w:tr>
        <w:trPr>
          <w:trHeight w:val="276"/>
        </w:trPr>
        <w:tc>
          <w:tcPr>
            <w:tcW w:w="480" w:type="dxa"/>
            <w:vAlign w:val="bottom"/>
            <w:shd w:val="clear" w:color="auto" w:fill="CCEEFF"/>
          </w:tcPr>
          <w:p>
            <w:pPr>
              <w:jc w:val="right"/>
              <w:spacing w:after="0" w:line="263" w:lineRule="exact"/>
              <w:rPr>
                <w:sz w:val="20"/>
                <w:szCs w:val="20"/>
                <w:color w:val="auto"/>
              </w:rPr>
            </w:pPr>
            <w:r>
              <w:rPr>
                <w:rFonts w:ascii="Calibri" w:cs="Calibri" w:eastAsia="Calibri" w:hAnsi="Calibri"/>
                <w:sz w:val="22"/>
                <w:szCs w:val="22"/>
                <w:color w:val="auto"/>
                <w:w w:val="98"/>
              </w:rPr>
              <w:t>2025</w:t>
            </w:r>
          </w:p>
        </w:tc>
        <w:tc>
          <w:tcPr>
            <w:tcW w:w="6760" w:type="dxa"/>
            <w:vAlign w:val="bottom"/>
            <w:shd w:val="clear" w:color="auto" w:fill="CCEEFF"/>
          </w:tcPr>
          <w:p>
            <w:pPr>
              <w:ind w:left="40"/>
              <w:spacing w:after="0" w:line="275" w:lineRule="exact"/>
              <w:rPr>
                <w:sz w:val="20"/>
                <w:szCs w:val="20"/>
                <w:color w:val="auto"/>
              </w:rPr>
            </w:pPr>
            <w:r>
              <w:rPr>
                <w:rFonts w:ascii="Calibri" w:cs="Calibri" w:eastAsia="Calibri" w:hAnsi="Calibri"/>
                <w:sz w:val="22"/>
                <w:szCs w:val="22"/>
                <w:color w:val="auto"/>
              </w:rPr>
              <w:t>- 2029 Southwest Gas rate base CAGR</w:t>
            </w:r>
            <w:r>
              <w:rPr>
                <w:rFonts w:ascii="Calibri" w:cs="Calibri" w:eastAsia="Calibri" w:hAnsi="Calibri"/>
                <w:sz w:val="28"/>
                <w:szCs w:val="28"/>
                <w:color w:val="auto"/>
                <w:vertAlign w:val="superscript"/>
              </w:rPr>
              <w:t>(2)</w:t>
            </w:r>
          </w:p>
        </w:tc>
        <w:tc>
          <w:tcPr>
            <w:tcW w:w="4000" w:type="dxa"/>
            <w:vAlign w:val="bottom"/>
            <w:shd w:val="clear" w:color="auto" w:fill="CCEEFF"/>
          </w:tcPr>
          <w:p>
            <w:pPr>
              <w:jc w:val="center"/>
              <w:ind w:left="1472"/>
              <w:spacing w:after="0" w:line="263" w:lineRule="exact"/>
              <w:rPr>
                <w:sz w:val="20"/>
                <w:szCs w:val="20"/>
                <w:color w:val="auto"/>
              </w:rPr>
            </w:pPr>
            <w:r>
              <w:rPr>
                <w:rFonts w:ascii="Calibri" w:cs="Calibri" w:eastAsia="Calibri" w:hAnsi="Calibri"/>
                <w:sz w:val="22"/>
                <w:szCs w:val="22"/>
                <w:color w:val="auto"/>
                <w:w w:val="98"/>
              </w:rPr>
              <w:t>6.0% - 8.0%</w:t>
            </w:r>
          </w:p>
        </w:tc>
      </w:tr>
    </w:tbl>
    <w:p>
      <w:pPr>
        <w:spacing w:after="0" w:line="9" w:lineRule="exact"/>
        <w:rPr>
          <w:sz w:val="20"/>
          <w:szCs w:val="20"/>
          <w:color w:val="auto"/>
        </w:rPr>
      </w:pPr>
    </w:p>
    <w:p>
      <w:pPr>
        <w:ind w:left="140" w:hanging="132"/>
        <w:spacing w:after="0"/>
        <w:tabs>
          <w:tab w:leader="none" w:pos="140" w:val="left"/>
        </w:tabs>
        <w:numPr>
          <w:ilvl w:val="0"/>
          <w:numId w:val="13"/>
        </w:numPr>
        <w:rPr>
          <w:rFonts w:ascii="Calibri" w:cs="Calibri" w:eastAsia="Calibri" w:hAnsi="Calibri"/>
          <w:sz w:val="17"/>
          <w:szCs w:val="17"/>
          <w:color w:val="auto"/>
          <w:vertAlign w:val="superscript"/>
        </w:rPr>
      </w:pPr>
      <w:r>
        <w:rPr>
          <w:rFonts w:ascii="Calibri" w:cs="Calibri" w:eastAsia="Calibri" w:hAnsi="Calibri"/>
          <w:sz w:val="13"/>
          <w:szCs w:val="13"/>
          <w:color w:val="auto"/>
        </w:rPr>
        <w:t>Assumes $3 - $5 million COLI earnings.</w:t>
      </w:r>
    </w:p>
    <w:p>
      <w:pPr>
        <w:ind w:left="140" w:hanging="132"/>
        <w:spacing w:after="0" w:line="186" w:lineRule="auto"/>
        <w:tabs>
          <w:tab w:leader="none" w:pos="140" w:val="left"/>
        </w:tabs>
        <w:numPr>
          <w:ilvl w:val="0"/>
          <w:numId w:val="13"/>
        </w:numPr>
        <w:rPr>
          <w:rFonts w:ascii="Calibri" w:cs="Calibri" w:eastAsia="Calibri" w:hAnsi="Calibri"/>
          <w:sz w:val="15"/>
          <w:szCs w:val="15"/>
          <w:color w:val="auto"/>
          <w:vertAlign w:val="superscript"/>
        </w:rPr>
      </w:pPr>
      <w:r>
        <w:rPr>
          <w:rFonts w:ascii="Calibri" w:cs="Calibri" w:eastAsia="Calibri" w:hAnsi="Calibri"/>
          <w:sz w:val="11"/>
          <w:szCs w:val="11"/>
          <w:color w:val="auto"/>
        </w:rPr>
        <w:t>Net income and rate base compound annual growth rate: base year 2025.</w:t>
      </w:r>
    </w:p>
    <w:p>
      <w:pPr>
        <w:spacing w:after="0" w:line="34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Centuri / Utlity Infrastructure Services Segment Overview:</w:t>
      </w:r>
    </w:p>
    <w:p>
      <w:pPr>
        <w:spacing w:after="0" w:line="109" w:lineRule="exact"/>
        <w:rPr>
          <w:sz w:val="20"/>
          <w:szCs w:val="20"/>
          <w:color w:val="auto"/>
        </w:rPr>
      </w:pPr>
    </w:p>
    <w:p>
      <w:pPr>
        <w:ind w:left="660" w:hanging="328"/>
        <w:spacing w:after="0"/>
        <w:tabs>
          <w:tab w:leader="none" w:pos="660" w:val="left"/>
        </w:tabs>
        <w:numPr>
          <w:ilvl w:val="0"/>
          <w:numId w:val="14"/>
        </w:numPr>
        <w:rPr>
          <w:rFonts w:ascii="Calibri" w:cs="Calibri" w:eastAsia="Calibri" w:hAnsi="Calibri"/>
          <w:sz w:val="22"/>
          <w:szCs w:val="22"/>
          <w:color w:val="auto"/>
        </w:rPr>
      </w:pPr>
      <w:r>
        <w:rPr>
          <w:rFonts w:ascii="Calibri" w:cs="Calibri" w:eastAsia="Calibri" w:hAnsi="Calibri"/>
          <w:sz w:val="22"/>
          <w:szCs w:val="22"/>
          <w:color w:val="auto"/>
        </w:rPr>
        <w:t>Revenues of $2.6 billion in 2024, a decrease of $262 million, or 9%, compared to 2023;</w:t>
      </w:r>
    </w:p>
    <w:p>
      <w:pPr>
        <w:spacing w:after="0" w:line="109" w:lineRule="exact"/>
        <w:rPr>
          <w:rFonts w:ascii="Calibri" w:cs="Calibri" w:eastAsia="Calibri" w:hAnsi="Calibri"/>
          <w:sz w:val="22"/>
          <w:szCs w:val="22"/>
          <w:color w:val="auto"/>
        </w:rPr>
      </w:pPr>
    </w:p>
    <w:p>
      <w:pPr>
        <w:ind w:left="660" w:hanging="328"/>
        <w:spacing w:after="0"/>
        <w:tabs>
          <w:tab w:leader="none" w:pos="660" w:val="left"/>
        </w:tabs>
        <w:numPr>
          <w:ilvl w:val="0"/>
          <w:numId w:val="14"/>
        </w:numPr>
        <w:rPr>
          <w:rFonts w:ascii="Calibri" w:cs="Calibri" w:eastAsia="Calibri" w:hAnsi="Calibri"/>
          <w:sz w:val="22"/>
          <w:szCs w:val="22"/>
          <w:color w:val="auto"/>
        </w:rPr>
      </w:pPr>
      <w:r>
        <w:rPr>
          <w:rFonts w:ascii="Calibri" w:cs="Calibri" w:eastAsia="Calibri" w:hAnsi="Calibri"/>
          <w:sz w:val="22"/>
          <w:szCs w:val="22"/>
          <w:color w:val="auto"/>
        </w:rPr>
        <w:t>Operatng income of $86.8 million in 2024, a decrease of $49.6 million compared to 2023;</w:t>
      </w:r>
    </w:p>
    <w:p>
      <w:pPr>
        <w:spacing w:after="0" w:line="109" w:lineRule="exact"/>
        <w:rPr>
          <w:rFonts w:ascii="Calibri" w:cs="Calibri" w:eastAsia="Calibri" w:hAnsi="Calibri"/>
          <w:sz w:val="22"/>
          <w:szCs w:val="22"/>
          <w:color w:val="auto"/>
        </w:rPr>
      </w:pPr>
    </w:p>
    <w:p>
      <w:pPr>
        <w:ind w:left="660" w:hanging="328"/>
        <w:spacing w:after="0"/>
        <w:tabs>
          <w:tab w:leader="none" w:pos="660" w:val="left"/>
        </w:tabs>
        <w:numPr>
          <w:ilvl w:val="0"/>
          <w:numId w:val="14"/>
        </w:numPr>
        <w:rPr>
          <w:rFonts w:ascii="Calibri" w:cs="Calibri" w:eastAsia="Calibri" w:hAnsi="Calibri"/>
          <w:sz w:val="22"/>
          <w:szCs w:val="22"/>
          <w:color w:val="auto"/>
        </w:rPr>
      </w:pPr>
      <w:r>
        <w:rPr>
          <w:rFonts w:ascii="Calibri" w:cs="Calibri" w:eastAsia="Calibri" w:hAnsi="Calibri"/>
          <w:sz w:val="22"/>
          <w:szCs w:val="22"/>
          <w:color w:val="auto"/>
        </w:rPr>
        <w:t>In April 2024, paid down $316 million of debt from proceeds of the successful IPO;</w:t>
      </w:r>
    </w:p>
    <w:p>
      <w:pPr>
        <w:spacing w:after="0" w:line="111" w:lineRule="exact"/>
        <w:rPr>
          <w:rFonts w:ascii="Calibri" w:cs="Calibri" w:eastAsia="Calibri" w:hAnsi="Calibri"/>
          <w:sz w:val="22"/>
          <w:szCs w:val="22"/>
          <w:color w:val="auto"/>
        </w:rPr>
      </w:pPr>
    </w:p>
    <w:p>
      <w:pPr>
        <w:ind w:left="660" w:hanging="328"/>
        <w:spacing w:after="0"/>
        <w:tabs>
          <w:tab w:leader="none" w:pos="660" w:val="left"/>
        </w:tabs>
        <w:numPr>
          <w:ilvl w:val="0"/>
          <w:numId w:val="14"/>
        </w:numPr>
        <w:rPr>
          <w:rFonts w:ascii="Calibri" w:cs="Calibri" w:eastAsia="Calibri" w:hAnsi="Calibri"/>
          <w:sz w:val="22"/>
          <w:szCs w:val="22"/>
          <w:color w:val="auto"/>
        </w:rPr>
      </w:pPr>
      <w:r>
        <w:rPr>
          <w:rFonts w:ascii="Calibri" w:cs="Calibri" w:eastAsia="Calibri" w:hAnsi="Calibri"/>
          <w:sz w:val="22"/>
          <w:szCs w:val="22"/>
          <w:color w:val="auto"/>
        </w:rPr>
        <w:t>Acquired the remaining interest in Linetec Services, LLC previously held by noncontrolling partes;</w:t>
      </w:r>
    </w:p>
    <w:p>
      <w:pPr>
        <w:spacing w:after="0" w:line="109" w:lineRule="exact"/>
        <w:rPr>
          <w:rFonts w:ascii="Calibri" w:cs="Calibri" w:eastAsia="Calibri" w:hAnsi="Calibri"/>
          <w:sz w:val="22"/>
          <w:szCs w:val="22"/>
          <w:color w:val="auto"/>
        </w:rPr>
      </w:pPr>
    </w:p>
    <w:p>
      <w:pPr>
        <w:ind w:left="660" w:hanging="328"/>
        <w:spacing w:after="0"/>
        <w:tabs>
          <w:tab w:leader="none" w:pos="660" w:val="left"/>
        </w:tabs>
        <w:numPr>
          <w:ilvl w:val="0"/>
          <w:numId w:val="14"/>
        </w:numPr>
        <w:rPr>
          <w:rFonts w:ascii="Calibri" w:cs="Calibri" w:eastAsia="Calibri" w:hAnsi="Calibri"/>
          <w:sz w:val="22"/>
          <w:szCs w:val="22"/>
          <w:color w:val="auto"/>
        </w:rPr>
      </w:pPr>
      <w:r>
        <w:rPr>
          <w:rFonts w:ascii="Calibri" w:cs="Calibri" w:eastAsia="Calibri" w:hAnsi="Calibri"/>
          <w:sz w:val="22"/>
          <w:szCs w:val="22"/>
          <w:color w:val="auto"/>
        </w:rPr>
        <w:t>Appointed Chris Brown as President and Chief Executve Ofcer efectve December 3, 2024.</w:t>
      </w:r>
    </w:p>
    <w:p>
      <w:pPr>
        <w:sectPr>
          <w:pgSz w:w="11900" w:h="16838" w:orient="portrait"/>
          <w:cols w:equalWidth="0" w:num="1">
            <w:col w:w="11240"/>
          </w:cols>
          <w:pgMar w:left="320" w:top="1326" w:right="339"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22"/>
          <w:szCs w:val="22"/>
          <w:b w:val="1"/>
          <w:bCs w:val="1"/>
          <w:color w:val="auto"/>
        </w:rPr>
        <w:t>Centuri / Utlity Infrastructure Services - Fourth Quarter 2024</w:t>
      </w:r>
    </w:p>
    <w:p>
      <w:pPr>
        <w:spacing w:after="0" w:line="120" w:lineRule="exact"/>
        <w:rPr>
          <w:sz w:val="20"/>
          <w:szCs w:val="20"/>
          <w:color w:val="auto"/>
        </w:rPr>
      </w:pPr>
    </w:p>
    <w:p>
      <w:pPr>
        <w:jc w:val="both"/>
        <w:spacing w:after="0" w:line="238" w:lineRule="auto"/>
        <w:rPr>
          <w:sz w:val="20"/>
          <w:szCs w:val="20"/>
          <w:color w:val="auto"/>
        </w:rPr>
      </w:pPr>
      <w:r>
        <w:rPr>
          <w:rFonts w:ascii="Calibri" w:cs="Calibri" w:eastAsia="Calibri" w:hAnsi="Calibri"/>
          <w:sz w:val="22"/>
          <w:szCs w:val="22"/>
          <w:color w:val="auto"/>
        </w:rPr>
        <w:t>The utlity infrastructure services segment recorded net income of $8.1 million and adjusted net income of $13.3 million in the fourth quarter of 2024, compared to a net loss of $(5.3) million and adjusted net income of $1.0 million in the fourth quarter of 2023. Results benefted from increased storm restoraton services, including residual work related to Hurricane Helene and the impact of Hurricane Milton in October, which collectvely drove a $47 million increase in storm restoraton services revenues versus the prior year period.</w:t>
      </w:r>
    </w:p>
    <w:p>
      <w:pPr>
        <w:spacing w:after="0" w:line="116" w:lineRule="exact"/>
        <w:rPr>
          <w:sz w:val="20"/>
          <w:szCs w:val="20"/>
          <w:color w:val="auto"/>
        </w:rPr>
      </w:pPr>
    </w:p>
    <w:p>
      <w:pPr>
        <w:spacing w:after="0"/>
        <w:rPr>
          <w:sz w:val="20"/>
          <w:szCs w:val="20"/>
          <w:color w:val="auto"/>
        </w:rPr>
      </w:pPr>
      <w:r>
        <w:rPr>
          <w:rFonts w:ascii="Calibri" w:cs="Calibri" w:eastAsia="Calibri" w:hAnsi="Calibri"/>
          <w:sz w:val="22"/>
          <w:szCs w:val="22"/>
          <w:color w:val="auto"/>
        </w:rPr>
        <w:t>Key drivers of Centuri’s fourth quarter 2024 performance as compared to fourth quarter 2023 include:</w:t>
      </w:r>
    </w:p>
    <w:p>
      <w:pPr>
        <w:spacing w:after="0" w:line="120" w:lineRule="exact"/>
        <w:rPr>
          <w:sz w:val="20"/>
          <w:szCs w:val="20"/>
          <w:color w:val="auto"/>
        </w:rPr>
      </w:pPr>
    </w:p>
    <w:p>
      <w:pPr>
        <w:jc w:val="both"/>
        <w:ind w:left="660" w:hanging="328"/>
        <w:spacing w:after="0" w:line="238" w:lineRule="auto"/>
        <w:tabs>
          <w:tab w:leader="none" w:pos="635" w:val="left"/>
        </w:tabs>
        <w:numPr>
          <w:ilvl w:val="0"/>
          <w:numId w:val="15"/>
        </w:numPr>
        <w:rPr>
          <w:rFonts w:ascii="Times New Roman" w:cs="Times New Roman" w:eastAsia="Times New Roman" w:hAnsi="Times New Roman"/>
          <w:sz w:val="20"/>
          <w:szCs w:val="20"/>
          <w:color w:val="auto"/>
        </w:rPr>
      </w:pPr>
      <w:r>
        <w:rPr>
          <w:rFonts w:ascii="Calibri" w:cs="Calibri" w:eastAsia="Calibri" w:hAnsi="Calibri"/>
          <w:sz w:val="22"/>
          <w:szCs w:val="22"/>
          <w:color w:val="auto"/>
        </w:rPr>
        <w:t>$47 million higher storm restoraton services revenue versus the prior year period, resultng from the contnued impacts of Hurricane Helene and the impact of Hurricane Milton in October. These benefts were partally ofset by lower U.S. gas infrastructure services margins at Centuri, which were negatvely impacted by unfavorable mix of work as well as $43 million lower ofshore wind revenues when compared with the same period in 2023;</w:t>
      </w:r>
    </w:p>
    <w:p>
      <w:pPr>
        <w:spacing w:after="0" w:line="11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5"/>
        </w:numPr>
        <w:rPr>
          <w:rFonts w:ascii="Calibri" w:cs="Calibri" w:eastAsia="Calibri" w:hAnsi="Calibri"/>
          <w:sz w:val="22"/>
          <w:szCs w:val="22"/>
          <w:color w:val="auto"/>
        </w:rPr>
      </w:pPr>
      <w:r>
        <w:rPr>
          <w:rFonts w:ascii="Calibri" w:cs="Calibri" w:eastAsia="Calibri" w:hAnsi="Calibri"/>
          <w:sz w:val="22"/>
          <w:szCs w:val="22"/>
          <w:color w:val="auto"/>
        </w:rPr>
        <w:t>$2.6 million lower severance costs when compared with the fourth quarter of 2023;</w:t>
      </w:r>
    </w:p>
    <w:p>
      <w:pPr>
        <w:spacing w:after="0" w:line="120" w:lineRule="exact"/>
        <w:rPr>
          <w:rFonts w:ascii="Calibri" w:cs="Calibri" w:eastAsia="Calibri" w:hAnsi="Calibri"/>
          <w:sz w:val="22"/>
          <w:szCs w:val="22"/>
          <w:color w:val="auto"/>
        </w:rPr>
      </w:pPr>
    </w:p>
    <w:p>
      <w:pPr>
        <w:ind w:left="660" w:hanging="328"/>
        <w:spacing w:after="0" w:line="235" w:lineRule="auto"/>
        <w:tabs>
          <w:tab w:leader="none" w:pos="660" w:val="left"/>
        </w:tabs>
        <w:numPr>
          <w:ilvl w:val="0"/>
          <w:numId w:val="15"/>
        </w:numPr>
        <w:rPr>
          <w:rFonts w:ascii="Calibri" w:cs="Calibri" w:eastAsia="Calibri" w:hAnsi="Calibri"/>
          <w:sz w:val="22"/>
          <w:szCs w:val="22"/>
          <w:color w:val="auto"/>
        </w:rPr>
      </w:pPr>
      <w:r>
        <w:rPr>
          <w:rFonts w:ascii="Calibri" w:cs="Calibri" w:eastAsia="Calibri" w:hAnsi="Calibri"/>
          <w:sz w:val="22"/>
          <w:szCs w:val="22"/>
          <w:color w:val="auto"/>
        </w:rPr>
        <w:t>Interest expense was lower by $5 million compared to the fourth quarter of 2023, refectve of lower outstanding debt balances; and</w:t>
      </w:r>
    </w:p>
    <w:p>
      <w:pPr>
        <w:spacing w:after="0" w:line="122" w:lineRule="exact"/>
        <w:rPr>
          <w:rFonts w:ascii="Calibri" w:cs="Calibri" w:eastAsia="Calibri" w:hAnsi="Calibri"/>
          <w:sz w:val="22"/>
          <w:szCs w:val="22"/>
          <w:color w:val="auto"/>
        </w:rPr>
      </w:pPr>
    </w:p>
    <w:p>
      <w:pPr>
        <w:jc w:val="both"/>
        <w:ind w:left="660" w:hanging="328"/>
        <w:spacing w:after="0" w:line="238" w:lineRule="auto"/>
        <w:tabs>
          <w:tab w:leader="none" w:pos="660" w:val="left"/>
        </w:tabs>
        <w:numPr>
          <w:ilvl w:val="0"/>
          <w:numId w:val="15"/>
        </w:numPr>
        <w:rPr>
          <w:rFonts w:ascii="Calibri" w:cs="Calibri" w:eastAsia="Calibri" w:hAnsi="Calibri"/>
          <w:sz w:val="22"/>
          <w:szCs w:val="22"/>
          <w:color w:val="auto"/>
        </w:rPr>
      </w:pPr>
      <w:r>
        <w:rPr>
          <w:rFonts w:ascii="Calibri" w:cs="Calibri" w:eastAsia="Calibri" w:hAnsi="Calibri"/>
          <w:sz w:val="22"/>
          <w:szCs w:val="22"/>
          <w:color w:val="auto"/>
        </w:rPr>
        <w:t>Non-GAAP adjustments to recorded fourth quarter 2024 earnings included $1 million of collectve net afer-tax strategic review costs, while the recorded fourth quarter 2023 earnings included a comparable amount of such costs. Amortzaton of acquired intangible assets for fourth quarter 2024 included $4 million of afer-tax costs and $5 million of afer-tax costs for the comparable 2023 period.</w:t>
      </w:r>
    </w:p>
    <w:p>
      <w:pPr>
        <w:spacing w:after="0" w:line="11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Centuri / Utlity Infrastructure Services - Full Year 2024</w:t>
      </w:r>
    </w:p>
    <w:p>
      <w:pPr>
        <w:spacing w:after="0" w:line="120" w:lineRule="exact"/>
        <w:rPr>
          <w:sz w:val="20"/>
          <w:szCs w:val="20"/>
          <w:color w:val="auto"/>
        </w:rPr>
      </w:pPr>
    </w:p>
    <w:p>
      <w:pPr>
        <w:spacing w:after="0" w:line="235" w:lineRule="auto"/>
        <w:rPr>
          <w:sz w:val="20"/>
          <w:szCs w:val="20"/>
          <w:color w:val="auto"/>
        </w:rPr>
      </w:pPr>
      <w:r>
        <w:rPr>
          <w:rFonts w:ascii="Calibri" w:cs="Calibri" w:eastAsia="Calibri" w:hAnsi="Calibri"/>
          <w:sz w:val="22"/>
          <w:szCs w:val="22"/>
          <w:color w:val="auto"/>
        </w:rPr>
        <w:t>The utlity infrastructure services segment recorded a net loss of $13.1 million and adjusted net income of $9.8 million in 2024, compared to net income of $19.7 million and adjusted net income of $42.3 million in 2023.</w:t>
      </w:r>
    </w:p>
    <w:p>
      <w:pPr>
        <w:spacing w:after="0" w:line="110" w:lineRule="exact"/>
        <w:rPr>
          <w:sz w:val="20"/>
          <w:szCs w:val="20"/>
          <w:color w:val="auto"/>
        </w:rPr>
      </w:pPr>
    </w:p>
    <w:p>
      <w:pPr>
        <w:spacing w:after="0"/>
        <w:rPr>
          <w:sz w:val="20"/>
          <w:szCs w:val="20"/>
          <w:color w:val="auto"/>
        </w:rPr>
      </w:pPr>
      <w:r>
        <w:rPr>
          <w:rFonts w:ascii="Calibri" w:cs="Calibri" w:eastAsia="Calibri" w:hAnsi="Calibri"/>
          <w:sz w:val="22"/>
          <w:szCs w:val="22"/>
          <w:color w:val="auto"/>
        </w:rPr>
        <w:t>Key drivers of Centuri’s 2024 performance as compared to 2023 include:</w:t>
      </w:r>
    </w:p>
    <w:p>
      <w:pPr>
        <w:spacing w:after="0" w:line="122" w:lineRule="exact"/>
        <w:rPr>
          <w:sz w:val="20"/>
          <w:szCs w:val="20"/>
          <w:color w:val="auto"/>
        </w:rPr>
      </w:pPr>
    </w:p>
    <w:p>
      <w:pPr>
        <w:jc w:val="both"/>
        <w:ind w:left="660" w:hanging="328"/>
        <w:spacing w:after="0" w:line="238" w:lineRule="auto"/>
        <w:tabs>
          <w:tab w:leader="none" w:pos="660" w:val="left"/>
        </w:tabs>
        <w:numPr>
          <w:ilvl w:val="0"/>
          <w:numId w:val="16"/>
        </w:numPr>
        <w:rPr>
          <w:rFonts w:ascii="Calibri" w:cs="Calibri" w:eastAsia="Calibri" w:hAnsi="Calibri"/>
          <w:sz w:val="22"/>
          <w:szCs w:val="22"/>
          <w:color w:val="auto"/>
        </w:rPr>
      </w:pPr>
      <w:r>
        <w:rPr>
          <w:rFonts w:ascii="Calibri" w:cs="Calibri" w:eastAsia="Calibri" w:hAnsi="Calibri"/>
          <w:sz w:val="22"/>
          <w:szCs w:val="22"/>
          <w:color w:val="auto"/>
        </w:rPr>
        <w:t>$262 million, or 9%, decrease in revenues compared to 2023, driven by a reducton in ofshore wind revenues of $114 million, partally ofset by an increase in emergency restoraton services revenue of approximately $50 million. The remaining decrease primarily relates to a reducton in net volumes under existng customer master services agreements (“MSAs”) stemming primarily from delayed or unfavorable regulatory decisions faced by key customers;</w:t>
      </w:r>
    </w:p>
    <w:p>
      <w:pPr>
        <w:spacing w:after="0" w:line="122" w:lineRule="exact"/>
        <w:rPr>
          <w:rFonts w:ascii="Calibri" w:cs="Calibri" w:eastAsia="Calibri" w:hAnsi="Calibri"/>
          <w:sz w:val="22"/>
          <w:szCs w:val="22"/>
          <w:color w:val="auto"/>
        </w:rPr>
      </w:pPr>
    </w:p>
    <w:p>
      <w:pPr>
        <w:ind w:left="660" w:right="20" w:hanging="328"/>
        <w:spacing w:after="0" w:line="235" w:lineRule="auto"/>
        <w:tabs>
          <w:tab w:leader="none" w:pos="660" w:val="left"/>
        </w:tabs>
        <w:numPr>
          <w:ilvl w:val="0"/>
          <w:numId w:val="16"/>
        </w:numPr>
        <w:rPr>
          <w:rFonts w:ascii="Calibri" w:cs="Calibri" w:eastAsia="Calibri" w:hAnsi="Calibri"/>
          <w:sz w:val="22"/>
          <w:szCs w:val="22"/>
          <w:color w:val="auto"/>
        </w:rPr>
      </w:pPr>
      <w:r>
        <w:rPr>
          <w:rFonts w:ascii="Calibri" w:cs="Calibri" w:eastAsia="Calibri" w:hAnsi="Calibri"/>
          <w:sz w:val="22"/>
          <w:szCs w:val="22"/>
          <w:color w:val="auto"/>
        </w:rPr>
        <w:t>$202 million, or 8%, decrease in infrastructure services expenses compared to 2023, primarily due to decreased work under ofshore wind projects and changes in mix of work;</w:t>
      </w:r>
    </w:p>
    <w:p>
      <w:pPr>
        <w:spacing w:after="0" w:line="122" w:lineRule="exact"/>
        <w:rPr>
          <w:rFonts w:ascii="Calibri" w:cs="Calibri" w:eastAsia="Calibri" w:hAnsi="Calibri"/>
          <w:sz w:val="22"/>
          <w:szCs w:val="22"/>
          <w:color w:val="auto"/>
        </w:rPr>
      </w:pPr>
    </w:p>
    <w:p>
      <w:pPr>
        <w:ind w:left="660" w:hanging="328"/>
        <w:spacing w:after="0" w:line="235" w:lineRule="auto"/>
        <w:tabs>
          <w:tab w:leader="none" w:pos="660" w:val="left"/>
        </w:tabs>
        <w:numPr>
          <w:ilvl w:val="0"/>
          <w:numId w:val="16"/>
        </w:numPr>
        <w:rPr>
          <w:rFonts w:ascii="Calibri" w:cs="Calibri" w:eastAsia="Calibri" w:hAnsi="Calibri"/>
          <w:sz w:val="22"/>
          <w:szCs w:val="22"/>
          <w:color w:val="auto"/>
        </w:rPr>
      </w:pPr>
      <w:r>
        <w:rPr>
          <w:rFonts w:ascii="Calibri" w:cs="Calibri" w:eastAsia="Calibri" w:hAnsi="Calibri"/>
          <w:sz w:val="22"/>
          <w:szCs w:val="22"/>
          <w:color w:val="auto"/>
        </w:rPr>
        <w:t>Depreciaton and amortzaton decreased $10 million year-over-year, driven by a number of small tools becoming fully depreciated in 2023 and more efcient utlizaton of existng fxed assets in recent periods; and</w:t>
      </w:r>
    </w:p>
    <w:p>
      <w:pPr>
        <w:spacing w:after="0" w:line="122" w:lineRule="exact"/>
        <w:rPr>
          <w:rFonts w:ascii="Calibri" w:cs="Calibri" w:eastAsia="Calibri" w:hAnsi="Calibri"/>
          <w:sz w:val="22"/>
          <w:szCs w:val="22"/>
          <w:color w:val="auto"/>
        </w:rPr>
      </w:pPr>
    </w:p>
    <w:p>
      <w:pPr>
        <w:jc w:val="both"/>
        <w:ind w:left="660" w:hanging="328"/>
        <w:spacing w:after="0" w:line="238" w:lineRule="auto"/>
        <w:tabs>
          <w:tab w:leader="none" w:pos="660" w:val="left"/>
        </w:tabs>
        <w:numPr>
          <w:ilvl w:val="0"/>
          <w:numId w:val="16"/>
        </w:numPr>
        <w:rPr>
          <w:rFonts w:ascii="Calibri" w:cs="Calibri" w:eastAsia="Calibri" w:hAnsi="Calibri"/>
          <w:sz w:val="22"/>
          <w:szCs w:val="22"/>
          <w:color w:val="auto"/>
        </w:rPr>
      </w:pPr>
      <w:r>
        <w:rPr>
          <w:rFonts w:ascii="Calibri" w:cs="Calibri" w:eastAsia="Calibri" w:hAnsi="Calibri"/>
          <w:sz w:val="22"/>
          <w:szCs w:val="22"/>
          <w:color w:val="auto"/>
        </w:rPr>
        <w:t>Non-GAAP adjustments recorded in 2024 earnings included $3.5 million of net afer-tax strategic review and IPO costs, while 2023 earnings included $2.5 million of such afer-tax costs. Amortzaton of acquired intangible assets for the 2024 year end included $17.5 million of afer-tax costs and $20.1 million of afer-tax costs for the comparable 2023 period. Additonally, an adjustment was</w:t>
      </w:r>
    </w:p>
    <w:p>
      <w:pPr>
        <w:sectPr>
          <w:pgSz w:w="11900" w:h="16838" w:orient="portrait"/>
          <w:cols w:equalWidth="0" w:num="1">
            <w:col w:w="11240"/>
          </w:cols>
          <w:pgMar w:left="320" w:top="1315" w:right="339" w:bottom="1440" w:gutter="0" w:footer="0" w:header="0"/>
        </w:sectPr>
      </w:pPr>
    </w:p>
    <w:bookmarkStart w:id="10" w:name="page11"/>
    <w:bookmarkEnd w:id="10"/>
    <w:p>
      <w:pPr>
        <w:ind w:left="660"/>
        <w:spacing w:after="0" w:line="235" w:lineRule="auto"/>
        <w:rPr>
          <w:sz w:val="20"/>
          <w:szCs w:val="20"/>
          <w:color w:val="auto"/>
        </w:rPr>
      </w:pPr>
      <w:r>
        <w:rPr>
          <w:rFonts w:ascii="Calibri" w:cs="Calibri" w:eastAsia="Calibri" w:hAnsi="Calibri"/>
          <w:sz w:val="22"/>
          <w:szCs w:val="22"/>
          <w:color w:val="auto"/>
        </w:rPr>
        <w:t>recorded for accounts receivable securitzaton fees and debt extnguishment loss ($1.9 million, afer-tax) for the 2024 year end, while no such cost was incurred nor adjusted in the comparable 2023 period.</w:t>
      </w:r>
    </w:p>
    <w:p>
      <w:pPr>
        <w:spacing w:after="0" w:line="11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Centuri Separaton Update</w:t>
      </w:r>
    </w:p>
    <w:p>
      <w:pPr>
        <w:spacing w:after="0" w:line="120" w:lineRule="exact"/>
        <w:rPr>
          <w:sz w:val="20"/>
          <w:szCs w:val="20"/>
          <w:color w:val="auto"/>
        </w:rPr>
      </w:pPr>
    </w:p>
    <w:p>
      <w:pPr>
        <w:jc w:val="both"/>
        <w:spacing w:after="0" w:line="239" w:lineRule="auto"/>
        <w:rPr>
          <w:sz w:val="20"/>
          <w:szCs w:val="20"/>
          <w:color w:val="auto"/>
        </w:rPr>
      </w:pPr>
      <w:r>
        <w:rPr>
          <w:rFonts w:ascii="Calibri" w:cs="Calibri" w:eastAsia="Calibri" w:hAnsi="Calibri"/>
          <w:sz w:val="22"/>
          <w:szCs w:val="22"/>
          <w:color w:val="auto"/>
        </w:rPr>
        <w:t>Southwest Gas Holdings will update investors on its plans with respect to the balance of its 81% ownership stake held in Centuri at a future date. This may include a sale of Centuri shares, a potental exchange of Centuri shares for Southwest Gas Holdings shares, a distributon of Centuri shares to Southwest Gas Holdings shareholders, or some combinaton thereof. Southwest Gas Holdings remains commited to pursuing a pure-play utlity strategy through an exit of its remaining interest in Centuri, and the IPO put the Company on a path to achieving that objectve.</w:t>
      </w:r>
    </w:p>
    <w:p>
      <w:pPr>
        <w:spacing w:after="0" w:line="11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Conference Call and Webcast</w:t>
      </w:r>
    </w:p>
    <w:p>
      <w:pPr>
        <w:spacing w:after="0" w:line="120"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2"/>
          <w:szCs w:val="22"/>
          <w:color w:val="auto"/>
        </w:rPr>
        <w:t>Southwest Gas Holdings will host a conference call on Wednesday, February 26, 2025 at 11:00 a.m. ET to discuss its fourth quarter and full year 2024 results. The associated press releases and presentaton slides are available at htps://investors.swgasholdings.com.</w:t>
      </w:r>
    </w:p>
    <w:p>
      <w:pPr>
        <w:spacing w:after="0" w:line="122"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color w:val="auto"/>
        </w:rPr>
        <w:t>The call will be webcast live on the Company's website at www.swgasholdings.com</w:t>
      </w:r>
      <w:r>
        <w:rPr>
          <w:rFonts w:ascii="Calibri" w:cs="Calibri" w:eastAsia="Calibri" w:hAnsi="Calibri"/>
          <w:sz w:val="19"/>
          <w:szCs w:val="19"/>
          <w:color w:val="auto"/>
        </w:rPr>
        <w:t>.</w:t>
      </w:r>
      <w:r>
        <w:rPr>
          <w:rFonts w:ascii="Calibri" w:cs="Calibri" w:eastAsia="Calibri" w:hAnsi="Calibri"/>
          <w:sz w:val="22"/>
          <w:szCs w:val="22"/>
          <w:color w:val="auto"/>
        </w:rPr>
        <w:t xml:space="preserve"> The telephone dial-in numbers in the U.S. and Canada are toll free: (800) 836-8184 or internatonal (646) 357-8785. The webcast will be archived on the Southwest Gas Holdings website.</w:t>
      </w:r>
    </w:p>
    <w:p>
      <w:pPr>
        <w:spacing w:after="0" w:line="11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Southwest Gas Holdings currently has two business segments:</w:t>
      </w:r>
    </w:p>
    <w:p>
      <w:pPr>
        <w:spacing w:after="0" w:line="120"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color w:val="auto"/>
        </w:rPr>
        <w:t>Southwest Gas Corporaton is a dynamic energy company commited to exceeding the expectatons of over 2 million customers throughout Arizona, Nevada, and California by providing safe, reliable, sustainable, and afordable service while innovatng additonal energy solutons to fuel the growth in its communites.</w:t>
      </w:r>
    </w:p>
    <w:p>
      <w:pPr>
        <w:spacing w:after="0" w:line="122"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color w:val="auto"/>
        </w:rPr>
        <w:t>Centuri Holdings, Inc. is a strategic infrastructure services company that partners with regulated utlites to build and maintain the energy network that powers millions of homes and businesses across the United States and Canada. Southwest Gas Holdings owns approximately 81% of the stock of Centuri Holdings, Inc.</w:t>
      </w:r>
    </w:p>
    <w:p>
      <w:pPr>
        <w:spacing w:after="0" w:line="115"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b w:val="1"/>
          <w:bCs w:val="1"/>
          <w:i w:val="1"/>
          <w:iCs w:val="1"/>
          <w:color w:val="auto"/>
        </w:rPr>
        <w:t xml:space="preserve">Forward-Looking Statements: </w:t>
      </w:r>
      <w:r>
        <w:rPr>
          <w:rFonts w:ascii="Calibri" w:cs="Calibri" w:eastAsia="Calibri" w:hAnsi="Calibri"/>
          <w:sz w:val="17"/>
          <w:szCs w:val="17"/>
          <w:i w:val="1"/>
          <w:iCs w:val="1"/>
          <w:color w:val="auto"/>
        </w:rPr>
        <w:t>This press release contains forward-looking statements within the meaning of the U.S. Private Securites Litgaton Reform Act</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i w:val="1"/>
          <w:iCs w:val="1"/>
          <w:color w:val="auto"/>
        </w:rPr>
        <w:t>of 1995, Secton 27A of the Securites Act of 1933, as amended, and Secton 21E of the Securites Exchange Act of 1934, as amended. Such statements include, without limitaton, statements regarding Southwest Gas Holdings, Inc. (the “Company” or “Southwest Gas Holdings”), Southwest Gas Corporaton (the “Utlity” or “Southwest Gas”), Centuri Holdings, Inc. and Centuri Group, Inc. (“Centuri”) and their expectatons or intentons regarding the future. These forward-looking statements can ofen be identfed by the use of words such as “will”, “predict”, “contnue”, “forecast”, “expect”, “believe”, “antcipate”, “outlook”, “could”, “target”, “project”, “intend”, “plan”, “seek”, “pursue”, “estmate”, “should”, “may” and “assume”, as well as variatons of such words and similar expressions referring to the future, and include (without limitaton) statements regarding and expectatons for fnancial performance in 2025 and the future. In additon, the statements under headings pertaining to “Southwest Gas / Natural Gas Distbuton Segment Guidance and Outlook” that are not historic, consttute forward-looking statements. A number of important factors afectng the business and fnancial results of the Company, Utlity, and Centuri could cause actual results to difer materially from those stated in the forward-looking statements. These factors include, but are not limited to, statements regarding the proposed transacton structure and tming of a separaton of our remaining interest, the tming and impact of executng (or not executng) such transacton alternatves, the tming and amount of rate relief, changes in rate design, customer growth rates, the efects of regulaton/deregulaton, tax reform and similar changes and related regulatory decisions, the impacts of constructon actvity at Centuri, the potental for, and the impact of, a credit ratng downgrade, the costs to integrate new businesses, future earnings trends, infaton, sufciency of labor markets and similar resources, seasonal paterns, current and future litgaton, and the impacts of stock market volatlity. For purposes of any forward-looking consolidated fnancial informaton at Southwest Gas Holdings, full consolidaton of Centuri has been modeled in this release. In additon, the Company can provide no assurance that its discussions about future operatng margin, operatng income, COLI earnings, interest expense, and capital expenditures of the natural gas</w:t>
      </w:r>
    </w:p>
    <w:p>
      <w:pPr>
        <w:sectPr>
          <w:pgSz w:w="11900" w:h="16838" w:orient="portrait"/>
          <w:cols w:equalWidth="0" w:num="1">
            <w:col w:w="11240"/>
          </w:cols>
          <w:pgMar w:left="320" w:top="1326" w:right="339" w:bottom="1440" w:gutter="0" w:footer="0" w:header="0"/>
        </w:sectPr>
      </w:pPr>
    </w:p>
    <w:bookmarkStart w:id="11" w:name="page12"/>
    <w:bookmarkEnd w:id="11"/>
    <w:p>
      <w:pPr>
        <w:jc w:val="both"/>
        <w:spacing w:after="0" w:line="235" w:lineRule="auto"/>
        <w:rPr>
          <w:sz w:val="20"/>
          <w:szCs w:val="20"/>
          <w:color w:val="auto"/>
        </w:rPr>
      </w:pPr>
      <w:r>
        <w:rPr>
          <w:rFonts w:ascii="Calibri" w:cs="Calibri" w:eastAsia="Calibri" w:hAnsi="Calibri"/>
          <w:sz w:val="18"/>
          <w:szCs w:val="18"/>
          <w:i w:val="1"/>
          <w:iCs w:val="1"/>
          <w:color w:val="auto"/>
        </w:rPr>
        <w:t>distributon segment will occur. Likewise, the Company can provide no assurance regarding segment revenues, margin or growth rates, that projects expected to be undertaken with results as stated will occur, nor that interest expense paterns will transpire as expected, that increases in costs will be tmely incorporated in contracts and revenues, that customer materials will be available tmely to efciently complete projects, or that inefciencies in the mix of work will not result, nor can it provide assurance regarding acquisitons or their impacts, including management’s plans or expectatons related thereto. Factors that could cause actual results to difer also include (without limitaton) those discussed under the heading “Risk Factors”, “Management’s Discussion and Analysis of Financial Conditon and Results of Operatons”, and “Quanttatve and Qualitatve Disclosure about Market Risk” in Southwest Gas Holdings, Inc.’s most recent Annual Report on Form 10-K and in the Company’s, Centuri’s and Southwest Gas Corporaton’s current and periodic reports, including our Quarterly Reports on Form 10-Q, fled from tme to tme with the Securites and Exchange Commission. The statements in this press release are made as of the date of this press release, even if subsequently made available by the Company on its website or otherwise. The Company does not assume any obligaton to update the forward-looking statements, whether writen or oral, that may be made from tme to tme, whether as a result of new informaton, future developments, or otherwise.</w:t>
      </w:r>
    </w:p>
    <w:p>
      <w:pPr>
        <w:spacing w:after="0" w:line="9"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b w:val="1"/>
          <w:bCs w:val="1"/>
          <w:i w:val="1"/>
          <w:iCs w:val="1"/>
          <w:color w:val="auto"/>
        </w:rPr>
        <w:t xml:space="preserve">Non-GAAP Measures. </w:t>
      </w:r>
      <w:r>
        <w:rPr>
          <w:rFonts w:ascii="Calibri" w:cs="Calibri" w:eastAsia="Calibri" w:hAnsi="Calibri"/>
          <w:sz w:val="18"/>
          <w:szCs w:val="18"/>
          <w:i w:val="1"/>
          <w:iCs w:val="1"/>
          <w:color w:val="auto"/>
        </w:rPr>
        <w:t>This press release contains fnancial measures that have not been calculated in accordance with accountng principles generally</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i w:val="1"/>
          <w:iCs w:val="1"/>
          <w:color w:val="auto"/>
        </w:rPr>
        <w:t>accepted in the U.S. (“GAAP”). These non-GAAP measures include (i) adjusted consolidated earnings (loss) per diluted share, (ii) adjusted consolidated net income, (iii) natural gas distributon segment adjusted net income (loss), (iv) natural gas distributon segment operatng margin, (v) pipeline and storage segment adjusted net income (loss), (vi) utlity infrastructure services segment adjusted net income (loss), and (vii) adjusted corporate and administratve net loss. Management uses these non-GAAP measures internally to evaluate performance and in making fnancial and operatonal decisions. Management believes that its presentaton of these measures provides investors greater transparency with respect to its results of operatons and that these measures are useful for a period-to-period comparison of results. Management also believes that providing these non-GAAP fnancial measures helps investors evaluate the Company’s operatng performance, proftability, and business trends in a way that is consistent with how management evaluates such performance. Adjusted consolidated net income (loss) for the twelve- months ended December 31, 2024 and 2023 includes adjustments to add back expenses, for 2023, related to the MountainWest Pipelines Holding Company (“MountainWest”) acquisiton and integraton expenses, along with losses on disposal groups held for sale, including goodwill impairment impacts and estmated selling costs, other costs associated with the sale, consultng fees related to Utlity optmizaton opportunity identfcaton, benchmarking, and assessment, for 2024, losses related to the early extnguishment of debt as well as securitzaton transacton fees at our infrastructure services segment, and, for 2024 and 2023, the strategic review, and costs incurred to facilitate the separaton of Centuri. For the three-months ended December 31, 2024 and 2023, adjusted consolidated net income (loss) includes adjustments to add back expenses, for 2023, related to consultng fees related to Utlity optmizaton opportunity identfcaton, benchmarking, and assessment, for 2024, losses related to the early extnguishment of debt as well as securitzaton transacton fees at our infrastructure services segment, and, for 2024 and 2023 the strategic review and other costs incurred to facilitate a separaton of Centuri . Management believes that it is appropriate to adjust for expenses related to the MountainWest acquisiton and integraton, for losses on held for sale businesses and for related costs, along with costs to facilitate a separaton of Centuri, and losses related to the early extnguishment of debt as well as securitzaton transacton fees at our infrastructure services segment, because they are expenses and charges that will not recur following these events. Management also believes it is appropriate to adjust for expenses related to the consultng fees related to Utlity optmizaton and strategic review, because these maters are unique and outside of the ordinary course of business for the Company. The amortzaton of certain acquisiton intangible assets applies to our utlity infrastructure services segment adjusted net income (loss) and therefore applies to adjusted net income at the Company consolidated level as well. We believe this adjustment is a common adjustment in the infrastructure services industry and that this adjustment allows investors to more clearly compare earnings performance with Centuri peer performance; as such, beginning with the frst quarter of 2024, the Company has presented this adjustment now that Centuri has completed its IPO and is a public company. For comparison, the Company has recast adjusted net income for all comparatve periods in 2023, to add amortzaton of certain intangible assets in order to align the presentaton of adjusted net income between periods, including related tax efects.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Management also uses the non-GAAP measure operatng margin related to its natural gas distributon operatons. Southwest Gas recognizes operatng revenues from the distributon and transportaton of natural gas (and related services) to customers. Gas cost is a tracked cost, which is passed through to customers without markup under PGA mechanisms, impactng revenues and net cost of gas sold on a dollar-for-dollar basis, thereby having no impact on Southwest Gas’ proftability. Therefore, management routnely uses operatng margin, defned by management as regulated operatons revenues less the net cost of gas sold, in its analysis of Southwest Gas’ fnancial performance. Operatng margin also forms a basis for Southwest Gas’ various regulatory decoupling mechanisms. Management believes supplying informaton regarding operatng margin provides investors and other interested partes with useful and relevant informaton to analyze Southwest Gas’ fnancial performance in a rate-regulated environment. (The Southwest Gas Holdings, Inc. Consolidated Earnings Digest included herein provides reconciliatons for these non-GAAP measures.)</w:t>
      </w:r>
    </w:p>
    <w:p>
      <w:pPr>
        <w:sectPr>
          <w:pgSz w:w="11900" w:h="16838" w:orient="portrait"/>
          <w:cols w:equalWidth="0" w:num="1">
            <w:col w:w="11240"/>
          </w:cols>
          <w:pgMar w:left="320" w:top="1319" w:right="339" w:bottom="1440" w:gutter="0" w:footer="0" w:header="0"/>
        </w:sectPr>
      </w:pPr>
    </w:p>
    <w:bookmarkStart w:id="12" w:name="page13"/>
    <w:bookmarkEnd w:id="12"/>
    <w:p>
      <w:pPr>
        <w:jc w:val="both"/>
        <w:spacing w:after="0" w:line="235" w:lineRule="auto"/>
        <w:rPr>
          <w:sz w:val="20"/>
          <w:szCs w:val="20"/>
          <w:color w:val="auto"/>
        </w:rPr>
      </w:pPr>
      <w:r>
        <w:rPr>
          <w:rFonts w:ascii="Calibri" w:cs="Calibri" w:eastAsia="Calibri" w:hAnsi="Calibri"/>
          <w:sz w:val="18"/>
          <w:szCs w:val="18"/>
          <w:i w:val="1"/>
          <w:iCs w:val="1"/>
          <w:color w:val="auto"/>
        </w:rPr>
        <w:t>We do not provide a reconciliaton of forward-looking Non-GAAP Measures to the corresponding forward-looking GAAP measure due to our inability to project special charges and certain expenses. Following Centuri’s IPO, we are no longer reportng Utlity infrastructure Services EBITDA and Adjusted EBITDA. Centuri will report those metrics in its own earnings materials.</w:t>
      </w:r>
    </w:p>
    <w:p>
      <w:pPr>
        <w:spacing w:after="0" w:line="10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Contacts</w:t>
      </w:r>
    </w:p>
    <w:p>
      <w:pPr>
        <w:spacing w:after="0" w:line="200" w:lineRule="exact"/>
        <w:rPr>
          <w:sz w:val="20"/>
          <w:szCs w:val="20"/>
          <w:color w:val="auto"/>
        </w:rPr>
      </w:pPr>
    </w:p>
    <w:p>
      <w:pPr>
        <w:spacing w:after="0" w:line="247" w:lineRule="exact"/>
        <w:rPr>
          <w:sz w:val="20"/>
          <w:szCs w:val="20"/>
          <w:color w:val="auto"/>
        </w:rPr>
      </w:pPr>
    </w:p>
    <w:tbl>
      <w:tblPr>
        <w:tblLayout w:type="fixed"/>
        <w:tblInd w:w="840" w:type="dxa"/>
        <w:tblCellMar>
          <w:top w:w="0" w:type="dxa"/>
          <w:left w:w="0" w:type="dxa"/>
          <w:bottom w:w="0" w:type="dxa"/>
          <w:right w:w="0" w:type="dxa"/>
        </w:tblCellMar>
      </w:tblPr>
      <w:tr>
        <w:trPr>
          <w:trHeight w:val="269"/>
        </w:trPr>
        <w:tc>
          <w:tcPr>
            <w:tcW w:w="4680" w:type="dxa"/>
            <w:vAlign w:val="bottom"/>
            <w:gridSpan w:val="2"/>
          </w:tcPr>
          <w:p>
            <w:pPr>
              <w:spacing w:after="0"/>
              <w:rPr>
                <w:sz w:val="20"/>
                <w:szCs w:val="20"/>
                <w:color w:val="auto"/>
              </w:rPr>
            </w:pPr>
            <w:r>
              <w:rPr>
                <w:rFonts w:ascii="Calibri" w:cs="Calibri" w:eastAsia="Calibri" w:hAnsi="Calibri"/>
                <w:sz w:val="22"/>
                <w:szCs w:val="22"/>
                <w:b w:val="1"/>
                <w:bCs w:val="1"/>
                <w:color w:val="auto"/>
              </w:rPr>
              <w:t>Investor and Analyst Contact</w:t>
            </w:r>
          </w:p>
        </w:tc>
        <w:tc>
          <w:tcPr>
            <w:tcW w:w="3620" w:type="dxa"/>
            <w:vAlign w:val="bottom"/>
            <w:gridSpan w:val="3"/>
          </w:tcPr>
          <w:p>
            <w:pPr>
              <w:ind w:left="360"/>
              <w:spacing w:after="0"/>
              <w:rPr>
                <w:sz w:val="20"/>
                <w:szCs w:val="20"/>
                <w:color w:val="auto"/>
              </w:rPr>
            </w:pPr>
            <w:r>
              <w:rPr>
                <w:rFonts w:ascii="Calibri" w:cs="Calibri" w:eastAsia="Calibri" w:hAnsi="Calibri"/>
                <w:sz w:val="22"/>
                <w:szCs w:val="22"/>
                <w:b w:val="1"/>
                <w:bCs w:val="1"/>
                <w:color w:val="auto"/>
              </w:rPr>
              <w:t>Media Contact</w:t>
            </w:r>
          </w:p>
        </w:tc>
      </w:tr>
      <w:tr>
        <w:trPr>
          <w:trHeight w:val="20"/>
        </w:trPr>
        <w:tc>
          <w:tcPr>
            <w:tcW w:w="25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26"/>
        </w:trPr>
        <w:tc>
          <w:tcPr>
            <w:tcW w:w="2560" w:type="dxa"/>
            <w:vAlign w:val="bottom"/>
          </w:tcPr>
          <w:p>
            <w:pPr>
              <w:spacing w:after="0"/>
              <w:rPr>
                <w:sz w:val="20"/>
                <w:szCs w:val="20"/>
                <w:color w:val="auto"/>
              </w:rPr>
            </w:pPr>
            <w:r>
              <w:rPr>
                <w:rFonts w:ascii="Calibri" w:cs="Calibri" w:eastAsia="Calibri" w:hAnsi="Calibri"/>
                <w:sz w:val="22"/>
                <w:szCs w:val="22"/>
                <w:color w:val="auto"/>
              </w:rPr>
              <w:t>Justn S. Forsberg</w:t>
            </w:r>
          </w:p>
        </w:tc>
        <w:tc>
          <w:tcPr>
            <w:tcW w:w="2120" w:type="dxa"/>
            <w:vAlign w:val="bottom"/>
          </w:tcPr>
          <w:p>
            <w:pPr>
              <w:spacing w:after="0"/>
              <w:rPr>
                <w:sz w:val="24"/>
                <w:szCs w:val="24"/>
                <w:color w:val="auto"/>
              </w:rPr>
            </w:pPr>
          </w:p>
        </w:tc>
        <w:tc>
          <w:tcPr>
            <w:tcW w:w="3620" w:type="dxa"/>
            <w:vAlign w:val="bottom"/>
            <w:gridSpan w:val="3"/>
          </w:tcPr>
          <w:p>
            <w:pPr>
              <w:ind w:left="360"/>
              <w:spacing w:after="0"/>
              <w:rPr>
                <w:sz w:val="20"/>
                <w:szCs w:val="20"/>
                <w:color w:val="auto"/>
              </w:rPr>
            </w:pPr>
            <w:r>
              <w:rPr>
                <w:rFonts w:ascii="Calibri" w:cs="Calibri" w:eastAsia="Calibri" w:hAnsi="Calibri"/>
                <w:sz w:val="22"/>
                <w:szCs w:val="22"/>
                <w:color w:val="auto"/>
              </w:rPr>
              <w:t>Sean Corbet</w:t>
            </w:r>
          </w:p>
        </w:tc>
      </w:tr>
      <w:tr>
        <w:trPr>
          <w:trHeight w:val="297"/>
        </w:trPr>
        <w:tc>
          <w:tcPr>
            <w:tcW w:w="4680" w:type="dxa"/>
            <w:vAlign w:val="bottom"/>
            <w:gridSpan w:val="2"/>
          </w:tcPr>
          <w:p>
            <w:pPr>
              <w:spacing w:after="0"/>
              <w:rPr>
                <w:sz w:val="20"/>
                <w:szCs w:val="20"/>
                <w:color w:val="auto"/>
              </w:rPr>
            </w:pPr>
            <w:r>
              <w:rPr>
                <w:rFonts w:ascii="Calibri" w:cs="Calibri" w:eastAsia="Calibri" w:hAnsi="Calibri"/>
                <w:sz w:val="22"/>
                <w:szCs w:val="22"/>
                <w:color w:val="auto"/>
              </w:rPr>
              <w:t>Vice President of Investor Relatons and Treasurer</w:t>
            </w:r>
          </w:p>
        </w:tc>
        <w:tc>
          <w:tcPr>
            <w:tcW w:w="3620" w:type="dxa"/>
            <w:vAlign w:val="bottom"/>
            <w:gridSpan w:val="3"/>
          </w:tcPr>
          <w:p>
            <w:pPr>
              <w:ind w:left="360"/>
              <w:spacing w:after="0"/>
              <w:rPr>
                <w:sz w:val="20"/>
                <w:szCs w:val="20"/>
                <w:color w:val="auto"/>
              </w:rPr>
            </w:pPr>
            <w:r>
              <w:rPr>
                <w:rFonts w:ascii="Calibri" w:cs="Calibri" w:eastAsia="Calibri" w:hAnsi="Calibri"/>
                <w:sz w:val="22"/>
                <w:szCs w:val="22"/>
                <w:color w:val="auto"/>
                <w:w w:val="97"/>
              </w:rPr>
              <w:t>Manager, Corporate Communicatons</w:t>
            </w:r>
          </w:p>
        </w:tc>
      </w:tr>
      <w:tr>
        <w:trPr>
          <w:trHeight w:val="297"/>
        </w:trPr>
        <w:tc>
          <w:tcPr>
            <w:tcW w:w="4680" w:type="dxa"/>
            <w:vAlign w:val="bottom"/>
            <w:gridSpan w:val="2"/>
          </w:tcPr>
          <w:p>
            <w:pPr>
              <w:spacing w:after="0"/>
              <w:rPr>
                <w:sz w:val="20"/>
                <w:szCs w:val="20"/>
                <w:color w:val="auto"/>
              </w:rPr>
            </w:pPr>
            <w:r>
              <w:rPr>
                <w:rFonts w:ascii="Calibri" w:cs="Calibri" w:eastAsia="Calibri" w:hAnsi="Calibri"/>
                <w:sz w:val="22"/>
                <w:szCs w:val="22"/>
                <w:color w:val="auto"/>
              </w:rPr>
              <w:t>Phone: (702) 364-3135</w:t>
            </w:r>
          </w:p>
        </w:tc>
        <w:tc>
          <w:tcPr>
            <w:tcW w:w="3620" w:type="dxa"/>
            <w:vAlign w:val="bottom"/>
            <w:gridSpan w:val="3"/>
          </w:tcPr>
          <w:p>
            <w:pPr>
              <w:ind w:left="360"/>
              <w:spacing w:after="0"/>
              <w:rPr>
                <w:sz w:val="20"/>
                <w:szCs w:val="20"/>
                <w:color w:val="auto"/>
              </w:rPr>
            </w:pPr>
            <w:r>
              <w:rPr>
                <w:rFonts w:ascii="Calibri" w:cs="Calibri" w:eastAsia="Calibri" w:hAnsi="Calibri"/>
                <w:sz w:val="22"/>
                <w:szCs w:val="22"/>
                <w:color w:val="auto"/>
              </w:rPr>
              <w:t>Phone: (702) 876-7219</w:t>
            </w:r>
          </w:p>
        </w:tc>
      </w:tr>
      <w:tr>
        <w:trPr>
          <w:trHeight w:val="297"/>
        </w:trPr>
        <w:tc>
          <w:tcPr>
            <w:tcW w:w="4680" w:type="dxa"/>
            <w:vAlign w:val="bottom"/>
            <w:gridSpan w:val="2"/>
          </w:tcPr>
          <w:p>
            <w:pPr>
              <w:spacing w:after="0"/>
              <w:rPr>
                <w:sz w:val="20"/>
                <w:szCs w:val="20"/>
                <w:color w:val="auto"/>
              </w:rPr>
            </w:pPr>
            <w:r>
              <w:rPr>
                <w:rFonts w:ascii="Calibri" w:cs="Calibri" w:eastAsia="Calibri" w:hAnsi="Calibri"/>
                <w:sz w:val="22"/>
                <w:szCs w:val="22"/>
                <w:color w:val="auto"/>
              </w:rPr>
              <w:t>justn.forsberg@swgas.com</w:t>
            </w:r>
          </w:p>
        </w:tc>
        <w:tc>
          <w:tcPr>
            <w:tcW w:w="3620" w:type="dxa"/>
            <w:vAlign w:val="bottom"/>
            <w:gridSpan w:val="3"/>
          </w:tcPr>
          <w:p>
            <w:pPr>
              <w:ind w:left="360"/>
              <w:spacing w:after="0"/>
              <w:rPr>
                <w:sz w:val="20"/>
                <w:szCs w:val="20"/>
                <w:color w:val="auto"/>
              </w:rPr>
            </w:pPr>
            <w:r>
              <w:rPr>
                <w:rFonts w:ascii="Calibri" w:cs="Calibri" w:eastAsia="Calibri" w:hAnsi="Calibri"/>
                <w:sz w:val="22"/>
                <w:szCs w:val="22"/>
                <w:color w:val="auto"/>
              </w:rPr>
              <w:t>sean.corbet@swgas.com</w:t>
            </w:r>
          </w:p>
        </w:tc>
      </w:tr>
    </w:tbl>
    <w:p>
      <w:pPr>
        <w:sectPr>
          <w:pgSz w:w="11900" w:h="16838" w:orient="portrait"/>
          <w:cols w:equalWidth="0" w:num="1">
            <w:col w:w="11240"/>
          </w:cols>
          <w:pgMar w:left="320" w:top="1319" w:right="339" w:bottom="1440" w:gutter="0" w:footer="0" w:header="0"/>
        </w:sectPr>
      </w:pPr>
    </w:p>
    <w:bookmarkStart w:id="13" w:name="page14"/>
    <w:bookmarkEnd w:id="13"/>
    <w:p>
      <w:pPr>
        <w:jc w:val="center"/>
        <w:spacing w:after="0"/>
        <w:rPr>
          <w:sz w:val="20"/>
          <w:szCs w:val="20"/>
          <w:color w:val="auto"/>
        </w:rPr>
      </w:pPr>
      <w:r>
        <w:rPr>
          <w:rFonts w:ascii="Calibri" w:cs="Calibri" w:eastAsia="Calibri" w:hAnsi="Calibri"/>
          <w:sz w:val="18"/>
          <w:szCs w:val="18"/>
          <w:b w:val="1"/>
          <w:bCs w:val="1"/>
          <w:color w:val="auto"/>
        </w:rPr>
        <w:t>SOUTHWEST GAS HOLDINGS, INC. CONSOLIDATED EARNINGS DIGEST</w:t>
      </w:r>
    </w:p>
    <w:p>
      <w:pPr>
        <w:spacing w:after="0" w:line="30"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(In thousands, except per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00" w:type="dxa"/>
            <w:vAlign w:val="bottom"/>
            <w:gridSpan w:val="4"/>
          </w:tcPr>
          <w:p>
            <w:pPr>
              <w:ind w:left="20"/>
              <w:spacing w:after="0"/>
              <w:rPr>
                <w:sz w:val="20"/>
                <w:szCs w:val="20"/>
                <w:color w:val="auto"/>
              </w:rPr>
            </w:pPr>
            <w:r>
              <w:rPr>
                <w:rFonts w:ascii="Calibri" w:cs="Calibri" w:eastAsia="Calibri" w:hAnsi="Calibri"/>
                <w:sz w:val="18"/>
                <w:szCs w:val="18"/>
                <w:b w:val="1"/>
                <w:bCs w:val="1"/>
                <w:color w:val="auto"/>
              </w:rPr>
              <w:t>Three Months Ended December 31,</w:t>
            </w:r>
          </w:p>
        </w:tc>
        <w:tc>
          <w:tcPr>
            <w:tcW w:w="380" w:type="dxa"/>
            <w:vAlign w:val="bottom"/>
          </w:tcPr>
          <w:p>
            <w:pPr>
              <w:spacing w:after="0"/>
              <w:rPr>
                <w:sz w:val="19"/>
                <w:szCs w:val="19"/>
                <w:color w:val="auto"/>
              </w:rPr>
            </w:pPr>
          </w:p>
        </w:tc>
        <w:tc>
          <w:tcPr>
            <w:tcW w:w="1280" w:type="dxa"/>
            <w:vAlign w:val="bottom"/>
          </w:tcPr>
          <w:p>
            <w:pPr>
              <w:jc w:val="right"/>
              <w:ind w:right="570"/>
              <w:spacing w:after="0"/>
              <w:rPr>
                <w:sz w:val="20"/>
                <w:szCs w:val="20"/>
                <w:color w:val="auto"/>
              </w:rPr>
            </w:pPr>
            <w:r>
              <w:rPr>
                <w:rFonts w:ascii="Calibri" w:cs="Calibri" w:eastAsia="Calibri" w:hAnsi="Calibri"/>
                <w:sz w:val="18"/>
                <w:szCs w:val="18"/>
                <w:color w:val="auto"/>
              </w:rPr>
              <w:t>2024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Calibri" w:cs="Calibri" w:eastAsia="Calibri" w:hAnsi="Calibri"/>
                <w:sz w:val="18"/>
                <w:szCs w:val="18"/>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2560" w:type="dxa"/>
            <w:vAlign w:val="bottom"/>
            <w:tcBorders>
              <w:top w:val="single" w:sz="8" w:color="auto"/>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7800" w:type="dxa"/>
            <w:vAlign w:val="bottom"/>
            <w:gridSpan w:val="4"/>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Consolidated Operatng Revenues</w:t>
            </w:r>
          </w:p>
        </w:tc>
        <w:tc>
          <w:tcPr>
            <w:tcW w:w="38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1,270,137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1,367,531</w:t>
            </w:r>
          </w:p>
        </w:tc>
      </w:tr>
      <w:tr>
        <w:trPr>
          <w:trHeight w:val="270"/>
        </w:trPr>
        <w:tc>
          <w:tcPr>
            <w:tcW w:w="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7800" w:type="dxa"/>
            <w:vAlign w:val="bottom"/>
            <w:gridSpan w:val="4"/>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Net income applicable to Southwest Gas Holdings</w:t>
            </w:r>
          </w:p>
        </w:tc>
        <w:tc>
          <w:tcPr>
            <w:tcW w:w="38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92,456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72,869</w:t>
            </w:r>
          </w:p>
        </w:tc>
      </w:tr>
      <w:tr>
        <w:trPr>
          <w:trHeight w:val="270"/>
        </w:trPr>
        <w:tc>
          <w:tcPr>
            <w:tcW w:w="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7800" w:type="dxa"/>
            <w:vAlign w:val="bottom"/>
            <w:gridSpan w:val="4"/>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Weighted Average Common Shares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71,916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71,672</w:t>
            </w:r>
          </w:p>
        </w:tc>
      </w:tr>
      <w:tr>
        <w:trPr>
          <w:trHeight w:val="270"/>
        </w:trPr>
        <w:tc>
          <w:tcPr>
            <w:tcW w:w="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7800" w:type="dxa"/>
            <w:vAlign w:val="bottom"/>
            <w:gridSpan w:val="4"/>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Basic Earnings (Loss) Per Share</w:t>
            </w:r>
          </w:p>
        </w:tc>
        <w:tc>
          <w:tcPr>
            <w:tcW w:w="38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1.02</w:t>
            </w:r>
          </w:p>
        </w:tc>
      </w:tr>
      <w:tr>
        <w:trPr>
          <w:trHeight w:val="270"/>
        </w:trPr>
        <w:tc>
          <w:tcPr>
            <w:tcW w:w="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7800" w:type="dxa"/>
            <w:vAlign w:val="bottom"/>
            <w:gridSpan w:val="4"/>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Diluted Earnings (Loss) Per Share</w:t>
            </w:r>
          </w:p>
        </w:tc>
        <w:tc>
          <w:tcPr>
            <w:tcW w:w="38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1.01</w:t>
            </w:r>
          </w:p>
        </w:tc>
      </w:tr>
      <w:tr>
        <w:trPr>
          <w:trHeight w:val="270"/>
        </w:trPr>
        <w:tc>
          <w:tcPr>
            <w:tcW w:w="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7800" w:type="dxa"/>
            <w:vAlign w:val="bottom"/>
            <w:gridSpan w:val="4"/>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Reconciliaton of Gross margin to Operatng Margin (non-GAAP measure)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2"/>
        </w:trPr>
        <w:tc>
          <w:tcPr>
            <w:tcW w:w="7800" w:type="dxa"/>
            <w:vAlign w:val="bottom"/>
            <w:gridSpan w:val="4"/>
          </w:tcPr>
          <w:p>
            <w:pPr>
              <w:ind w:left="20"/>
              <w:spacing w:after="0" w:line="215" w:lineRule="exact"/>
              <w:rPr>
                <w:sz w:val="20"/>
                <w:szCs w:val="20"/>
                <w:color w:val="auto"/>
              </w:rPr>
            </w:pPr>
            <w:r>
              <w:rPr>
                <w:rFonts w:ascii="Calibri" w:cs="Calibri" w:eastAsia="Calibri" w:hAnsi="Calibri"/>
                <w:sz w:val="18"/>
                <w:szCs w:val="18"/>
                <w:color w:val="auto"/>
              </w:rPr>
              <w:t>Utlity Gross Margin</w:t>
            </w: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225,729</w:t>
            </w:r>
          </w:p>
        </w:tc>
        <w:tc>
          <w:tcPr>
            <w:tcW w:w="100" w:type="dxa"/>
            <w:vAlign w:val="bottom"/>
          </w:tcPr>
          <w:p>
            <w:pPr>
              <w:spacing w:after="0"/>
              <w:rPr>
                <w:sz w:val="19"/>
                <w:szCs w:val="19"/>
                <w:color w:val="auto"/>
              </w:rPr>
            </w:pPr>
          </w:p>
        </w:tc>
        <w:tc>
          <w:tcPr>
            <w:tcW w:w="38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197,950</w:t>
            </w:r>
          </w:p>
        </w:tc>
      </w:tr>
      <w:tr>
        <w:trPr>
          <w:trHeight w:val="237"/>
        </w:trPr>
        <w:tc>
          <w:tcPr>
            <w:tcW w:w="20" w:type="dxa"/>
            <w:vAlign w:val="bottom"/>
            <w:shd w:val="clear" w:color="auto" w:fill="CCEEFF"/>
          </w:tcPr>
          <w:p>
            <w:pPr>
              <w:spacing w:after="0"/>
              <w:rPr>
                <w:sz w:val="20"/>
                <w:szCs w:val="20"/>
                <w:color w:val="auto"/>
              </w:rPr>
            </w:pPr>
          </w:p>
        </w:tc>
        <w:tc>
          <w:tcPr>
            <w:tcW w:w="7780" w:type="dxa"/>
            <w:vAlign w:val="bottom"/>
            <w:gridSpan w:val="3"/>
            <w:shd w:val="clear" w:color="auto" w:fill="CCEEFF"/>
          </w:tcPr>
          <w:p>
            <w:pPr>
              <w:ind w:left="100"/>
              <w:spacing w:after="0"/>
              <w:rPr>
                <w:sz w:val="20"/>
                <w:szCs w:val="20"/>
                <w:color w:val="auto"/>
              </w:rPr>
            </w:pPr>
            <w:r>
              <w:rPr>
                <w:rFonts w:ascii="Calibri" w:cs="Calibri" w:eastAsia="Calibri" w:hAnsi="Calibri"/>
                <w:sz w:val="18"/>
                <w:szCs w:val="18"/>
                <w:color w:val="auto"/>
              </w:rPr>
              <w:t>Plus:</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7780" w:type="dxa"/>
            <w:vAlign w:val="bottom"/>
            <w:gridSpan w:val="3"/>
          </w:tcPr>
          <w:p>
            <w:pPr>
              <w:ind w:left="200"/>
              <w:spacing w:after="0" w:line="215" w:lineRule="exact"/>
              <w:rPr>
                <w:sz w:val="20"/>
                <w:szCs w:val="20"/>
                <w:color w:val="auto"/>
              </w:rPr>
            </w:pPr>
            <w:r>
              <w:rPr>
                <w:rFonts w:ascii="Calibri" w:cs="Calibri" w:eastAsia="Calibri" w:hAnsi="Calibri"/>
                <w:sz w:val="18"/>
                <w:szCs w:val="18"/>
                <w:color w:val="auto"/>
              </w:rPr>
              <w:t>Operatons and maintenance (excluding Admin &amp; General) expense</w:t>
            </w:r>
          </w:p>
        </w:tc>
        <w:tc>
          <w:tcPr>
            <w:tcW w:w="380" w:type="dxa"/>
            <w:vAlign w:val="bottom"/>
          </w:tcPr>
          <w:p>
            <w:pPr>
              <w:spacing w:after="0"/>
              <w:rPr>
                <w:sz w:val="19"/>
                <w:szCs w:val="19"/>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79,081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82,944</w:t>
            </w:r>
          </w:p>
        </w:tc>
      </w:tr>
      <w:tr>
        <w:trPr>
          <w:trHeight w:val="230"/>
        </w:trPr>
        <w:tc>
          <w:tcPr>
            <w:tcW w:w="20" w:type="dxa"/>
            <w:vAlign w:val="bottom"/>
            <w:shd w:val="clear" w:color="auto" w:fill="CCEEFF"/>
          </w:tcPr>
          <w:p>
            <w:pPr>
              <w:spacing w:after="0"/>
              <w:rPr>
                <w:sz w:val="20"/>
                <w:szCs w:val="20"/>
                <w:color w:val="auto"/>
              </w:rPr>
            </w:pPr>
          </w:p>
        </w:tc>
        <w:tc>
          <w:tcPr>
            <w:tcW w:w="7780" w:type="dxa"/>
            <w:vAlign w:val="bottom"/>
            <w:gridSpan w:val="3"/>
            <w:shd w:val="clear" w:color="auto" w:fill="CCEEFF"/>
          </w:tcPr>
          <w:p>
            <w:pPr>
              <w:ind w:left="200"/>
              <w:spacing w:after="0"/>
              <w:rPr>
                <w:sz w:val="20"/>
                <w:szCs w:val="20"/>
                <w:color w:val="auto"/>
              </w:rPr>
            </w:pPr>
            <w:r>
              <w:rPr>
                <w:rFonts w:ascii="Calibri" w:cs="Calibri" w:eastAsia="Calibri" w:hAnsi="Calibri"/>
                <w:sz w:val="18"/>
                <w:szCs w:val="18"/>
                <w:color w:val="auto"/>
              </w:rPr>
              <w:t>Depreciaton and amortzaton expense</w:t>
            </w: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82,432</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76,699</w:t>
            </w:r>
          </w:p>
        </w:tc>
      </w:tr>
      <w:tr>
        <w:trPr>
          <w:trHeight w:val="230"/>
        </w:trPr>
        <w:tc>
          <w:tcPr>
            <w:tcW w:w="7800" w:type="dxa"/>
            <w:vAlign w:val="bottom"/>
            <w:gridSpan w:val="4"/>
          </w:tcPr>
          <w:p>
            <w:pPr>
              <w:ind w:left="20"/>
              <w:spacing w:after="0"/>
              <w:rPr>
                <w:sz w:val="20"/>
                <w:szCs w:val="20"/>
                <w:color w:val="auto"/>
              </w:rPr>
            </w:pPr>
            <w:r>
              <w:rPr>
                <w:rFonts w:ascii="Calibri" w:cs="Calibri" w:eastAsia="Calibri" w:hAnsi="Calibri"/>
                <w:sz w:val="18"/>
                <w:szCs w:val="18"/>
                <w:color w:val="auto"/>
              </w:rPr>
              <w:t>Operatng Margin</w:t>
            </w:r>
          </w:p>
        </w:tc>
        <w:tc>
          <w:tcPr>
            <w:tcW w:w="38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387,242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357,593</w:t>
            </w: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12"/>
        </w:trPr>
        <w:tc>
          <w:tcPr>
            <w:tcW w:w="7800" w:type="dxa"/>
            <w:vAlign w:val="bottom"/>
            <w:gridSpan w:val="4"/>
          </w:tcPr>
          <w:p>
            <w:pPr>
              <w:ind w:left="20"/>
              <w:spacing w:after="0"/>
              <w:rPr>
                <w:sz w:val="20"/>
                <w:szCs w:val="20"/>
                <w:color w:val="auto"/>
              </w:rPr>
            </w:pPr>
            <w:r>
              <w:rPr>
                <w:rFonts w:ascii="Calibri" w:cs="Calibri" w:eastAsia="Calibri" w:hAnsi="Calibri"/>
                <w:sz w:val="18"/>
                <w:szCs w:val="18"/>
                <w:b w:val="1"/>
                <w:bCs w:val="1"/>
                <w:color w:val="auto"/>
              </w:rPr>
              <w:t>Twelve Months Ended December 31,</w:t>
            </w:r>
          </w:p>
        </w:tc>
        <w:tc>
          <w:tcPr>
            <w:tcW w:w="380" w:type="dxa"/>
            <w:vAlign w:val="bottom"/>
          </w:tcPr>
          <w:p>
            <w:pPr>
              <w:spacing w:after="0"/>
              <w:rPr>
                <w:sz w:val="24"/>
                <w:szCs w:val="24"/>
                <w:color w:val="auto"/>
              </w:rPr>
            </w:pPr>
          </w:p>
        </w:tc>
        <w:tc>
          <w:tcPr>
            <w:tcW w:w="1280" w:type="dxa"/>
            <w:vAlign w:val="bottom"/>
          </w:tcPr>
          <w:p>
            <w:pPr>
              <w:jc w:val="right"/>
              <w:ind w:right="570"/>
              <w:spacing w:after="0"/>
              <w:rPr>
                <w:sz w:val="20"/>
                <w:szCs w:val="20"/>
                <w:color w:val="auto"/>
              </w:rPr>
            </w:pPr>
            <w:r>
              <w:rPr>
                <w:rFonts w:ascii="Calibri" w:cs="Calibri" w:eastAsia="Calibri" w:hAnsi="Calibri"/>
                <w:sz w:val="18"/>
                <w:szCs w:val="18"/>
                <w:color w:val="auto"/>
              </w:rPr>
              <w:t>2024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550"/>
              <w:spacing w:after="0"/>
              <w:rPr>
                <w:sz w:val="20"/>
                <w:szCs w:val="20"/>
                <w:color w:val="auto"/>
              </w:rPr>
            </w:pPr>
            <w:r>
              <w:rPr>
                <w:rFonts w:ascii="Calibri" w:cs="Calibri" w:eastAsia="Calibri" w:hAnsi="Calibri"/>
                <w:sz w:val="18"/>
                <w:szCs w:val="18"/>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2560" w:type="dxa"/>
            <w:vAlign w:val="bottom"/>
            <w:tcBorders>
              <w:top w:val="single" w:sz="8" w:color="auto"/>
              <w:bottom w:val="single" w:sz="8" w:color="CCEEFF"/>
            </w:tcBorders>
          </w:tcPr>
          <w:p>
            <w:pPr>
              <w:spacing w:after="0"/>
              <w:rPr>
                <w:sz w:val="2"/>
                <w:szCs w:val="2"/>
                <w:color w:val="auto"/>
              </w:rPr>
            </w:pPr>
          </w:p>
        </w:tc>
        <w:tc>
          <w:tcPr>
            <w:tcW w:w="100" w:type="dxa"/>
            <w:vAlign w:val="bottom"/>
            <w:tcBorders>
              <w:top w:val="single" w:sz="8" w:color="auto"/>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7800" w:type="dxa"/>
            <w:vAlign w:val="bottom"/>
            <w:gridSpan w:val="4"/>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Consolidated Operatng Revenues</w:t>
            </w:r>
          </w:p>
        </w:tc>
        <w:tc>
          <w:tcPr>
            <w:tcW w:w="38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5,112,445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5,433,972</w:t>
            </w:r>
          </w:p>
        </w:tc>
      </w:tr>
      <w:tr>
        <w:trPr>
          <w:trHeight w:val="270"/>
        </w:trPr>
        <w:tc>
          <w:tcPr>
            <w:tcW w:w="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7800" w:type="dxa"/>
            <w:vAlign w:val="bottom"/>
            <w:gridSpan w:val="4"/>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Net Income (loss) applicable to Southwest Gas Holdings</w:t>
            </w:r>
          </w:p>
        </w:tc>
        <w:tc>
          <w:tcPr>
            <w:tcW w:w="38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198,815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150,889</w:t>
            </w:r>
          </w:p>
        </w:tc>
      </w:tr>
      <w:tr>
        <w:trPr>
          <w:trHeight w:val="270"/>
        </w:trPr>
        <w:tc>
          <w:tcPr>
            <w:tcW w:w="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7800" w:type="dxa"/>
            <w:vAlign w:val="bottom"/>
            <w:gridSpan w:val="4"/>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Weighted Average Common Shares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71,841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70,787</w:t>
            </w:r>
          </w:p>
        </w:tc>
      </w:tr>
      <w:tr>
        <w:trPr>
          <w:trHeight w:val="270"/>
        </w:trPr>
        <w:tc>
          <w:tcPr>
            <w:tcW w:w="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7800" w:type="dxa"/>
            <w:vAlign w:val="bottom"/>
            <w:gridSpan w:val="4"/>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Basic Earnings (Loss) Per Share</w:t>
            </w:r>
          </w:p>
        </w:tc>
        <w:tc>
          <w:tcPr>
            <w:tcW w:w="38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2.13</w:t>
            </w:r>
          </w:p>
        </w:tc>
      </w:tr>
      <w:tr>
        <w:trPr>
          <w:trHeight w:val="270"/>
        </w:trPr>
        <w:tc>
          <w:tcPr>
            <w:tcW w:w="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7800" w:type="dxa"/>
            <w:vAlign w:val="bottom"/>
            <w:gridSpan w:val="4"/>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Diluted Earnings (Loss) Per Share</w:t>
            </w:r>
          </w:p>
        </w:tc>
        <w:tc>
          <w:tcPr>
            <w:tcW w:w="380" w:type="dxa"/>
            <w:vAlign w:val="bottom"/>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2.13</w:t>
            </w:r>
          </w:p>
        </w:tc>
      </w:tr>
      <w:tr>
        <w:trPr>
          <w:trHeight w:val="270"/>
        </w:trPr>
        <w:tc>
          <w:tcPr>
            <w:tcW w:w="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7800" w:type="dxa"/>
            <w:vAlign w:val="bottom"/>
            <w:gridSpan w:val="4"/>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Reconciliaton of Gross margin to Operatng Margin (non-GAAP measure)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2"/>
        </w:trPr>
        <w:tc>
          <w:tcPr>
            <w:tcW w:w="7800" w:type="dxa"/>
            <w:vAlign w:val="bottom"/>
            <w:gridSpan w:val="4"/>
          </w:tcPr>
          <w:p>
            <w:pPr>
              <w:ind w:left="20"/>
              <w:spacing w:after="0" w:line="215" w:lineRule="exact"/>
              <w:rPr>
                <w:sz w:val="20"/>
                <w:szCs w:val="20"/>
                <w:color w:val="auto"/>
              </w:rPr>
            </w:pPr>
            <w:r>
              <w:rPr>
                <w:rFonts w:ascii="Calibri" w:cs="Calibri" w:eastAsia="Calibri" w:hAnsi="Calibri"/>
                <w:sz w:val="18"/>
                <w:szCs w:val="18"/>
                <w:color w:val="auto"/>
              </w:rPr>
              <w:t>Utlity Gross Margin</w:t>
            </w:r>
          </w:p>
        </w:tc>
        <w:tc>
          <w:tcPr>
            <w:tcW w:w="3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696,964</w:t>
            </w:r>
          </w:p>
        </w:tc>
        <w:tc>
          <w:tcPr>
            <w:tcW w:w="100" w:type="dxa"/>
            <w:vAlign w:val="bottom"/>
          </w:tcPr>
          <w:p>
            <w:pPr>
              <w:spacing w:after="0"/>
              <w:rPr>
                <w:sz w:val="19"/>
                <w:szCs w:val="19"/>
                <w:color w:val="auto"/>
              </w:rPr>
            </w:pPr>
          </w:p>
        </w:tc>
        <w:tc>
          <w:tcPr>
            <w:tcW w:w="38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640,955</w:t>
            </w:r>
          </w:p>
        </w:tc>
      </w:tr>
      <w:tr>
        <w:trPr>
          <w:trHeight w:val="237"/>
        </w:trPr>
        <w:tc>
          <w:tcPr>
            <w:tcW w:w="20" w:type="dxa"/>
            <w:vAlign w:val="bottom"/>
            <w:shd w:val="clear" w:color="auto" w:fill="CCEEFF"/>
          </w:tcPr>
          <w:p>
            <w:pPr>
              <w:spacing w:after="0"/>
              <w:rPr>
                <w:sz w:val="20"/>
                <w:szCs w:val="20"/>
                <w:color w:val="auto"/>
              </w:rPr>
            </w:pPr>
          </w:p>
        </w:tc>
        <w:tc>
          <w:tcPr>
            <w:tcW w:w="7780" w:type="dxa"/>
            <w:vAlign w:val="bottom"/>
            <w:gridSpan w:val="3"/>
            <w:shd w:val="clear" w:color="auto" w:fill="CCEEFF"/>
          </w:tcPr>
          <w:p>
            <w:pPr>
              <w:ind w:left="100"/>
              <w:spacing w:after="0"/>
              <w:rPr>
                <w:sz w:val="20"/>
                <w:szCs w:val="20"/>
                <w:color w:val="auto"/>
              </w:rPr>
            </w:pPr>
            <w:r>
              <w:rPr>
                <w:rFonts w:ascii="Calibri" w:cs="Calibri" w:eastAsia="Calibri" w:hAnsi="Calibri"/>
                <w:sz w:val="18"/>
                <w:szCs w:val="18"/>
                <w:color w:val="auto"/>
              </w:rPr>
              <w:t>Plus:</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7780" w:type="dxa"/>
            <w:vAlign w:val="bottom"/>
            <w:gridSpan w:val="3"/>
          </w:tcPr>
          <w:p>
            <w:pPr>
              <w:ind w:left="200"/>
              <w:spacing w:after="0" w:line="215" w:lineRule="exact"/>
              <w:rPr>
                <w:sz w:val="20"/>
                <w:szCs w:val="20"/>
                <w:color w:val="auto"/>
              </w:rPr>
            </w:pPr>
            <w:r>
              <w:rPr>
                <w:rFonts w:ascii="Calibri" w:cs="Calibri" w:eastAsia="Calibri" w:hAnsi="Calibri"/>
                <w:sz w:val="18"/>
                <w:szCs w:val="18"/>
                <w:color w:val="auto"/>
              </w:rPr>
              <w:t>Operatons and maintenance (excluding Admin &amp; General) expense</w:t>
            </w:r>
          </w:p>
        </w:tc>
        <w:tc>
          <w:tcPr>
            <w:tcW w:w="380" w:type="dxa"/>
            <w:vAlign w:val="bottom"/>
          </w:tcPr>
          <w:p>
            <w:pPr>
              <w:spacing w:after="0"/>
              <w:rPr>
                <w:sz w:val="19"/>
                <w:szCs w:val="19"/>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325,152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316,246</w:t>
            </w:r>
          </w:p>
        </w:tc>
      </w:tr>
      <w:tr>
        <w:trPr>
          <w:trHeight w:val="230"/>
        </w:trPr>
        <w:tc>
          <w:tcPr>
            <w:tcW w:w="20" w:type="dxa"/>
            <w:vAlign w:val="bottom"/>
            <w:shd w:val="clear" w:color="auto" w:fill="CCEEFF"/>
          </w:tcPr>
          <w:p>
            <w:pPr>
              <w:spacing w:after="0"/>
              <w:rPr>
                <w:sz w:val="20"/>
                <w:szCs w:val="20"/>
                <w:color w:val="auto"/>
              </w:rPr>
            </w:pPr>
          </w:p>
        </w:tc>
        <w:tc>
          <w:tcPr>
            <w:tcW w:w="7780" w:type="dxa"/>
            <w:vAlign w:val="bottom"/>
            <w:gridSpan w:val="3"/>
            <w:shd w:val="clear" w:color="auto" w:fill="CCEEFF"/>
          </w:tcPr>
          <w:p>
            <w:pPr>
              <w:ind w:left="200"/>
              <w:spacing w:after="0"/>
              <w:rPr>
                <w:sz w:val="20"/>
                <w:szCs w:val="20"/>
                <w:color w:val="auto"/>
              </w:rPr>
            </w:pPr>
            <w:r>
              <w:rPr>
                <w:rFonts w:ascii="Calibri" w:cs="Calibri" w:eastAsia="Calibri" w:hAnsi="Calibri"/>
                <w:sz w:val="18"/>
                <w:szCs w:val="18"/>
                <w:color w:val="auto"/>
              </w:rPr>
              <w:t>Depreciaton and amortzaton expense</w:t>
            </w: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303,095</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295,462</w:t>
            </w:r>
          </w:p>
        </w:tc>
      </w:tr>
      <w:tr>
        <w:trPr>
          <w:trHeight w:val="230"/>
        </w:trPr>
        <w:tc>
          <w:tcPr>
            <w:tcW w:w="7800" w:type="dxa"/>
            <w:vAlign w:val="bottom"/>
            <w:gridSpan w:val="4"/>
          </w:tcPr>
          <w:p>
            <w:pPr>
              <w:ind w:left="20"/>
              <w:spacing w:after="0"/>
              <w:rPr>
                <w:sz w:val="20"/>
                <w:szCs w:val="20"/>
                <w:color w:val="auto"/>
              </w:rPr>
            </w:pPr>
            <w:r>
              <w:rPr>
                <w:rFonts w:ascii="Calibri" w:cs="Calibri" w:eastAsia="Calibri" w:hAnsi="Calibri"/>
                <w:sz w:val="18"/>
                <w:szCs w:val="18"/>
                <w:color w:val="auto"/>
              </w:rPr>
              <w:t>Operatng Margin</w:t>
            </w:r>
          </w:p>
        </w:tc>
        <w:tc>
          <w:tcPr>
            <w:tcW w:w="38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1,325,211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1,252,663</w:t>
            </w: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1260" w:right="359" w:bottom="1440" w:gutter="0" w:footer="0" w:header="0"/>
        </w:sectPr>
      </w:pPr>
    </w:p>
    <w:bookmarkStart w:id="14" w:name="page15"/>
    <w:bookmarkEnd w:id="14"/>
    <w:p>
      <w:pPr>
        <w:jc w:val="both"/>
        <w:spacing w:after="0" w:line="235" w:lineRule="auto"/>
        <w:rPr>
          <w:sz w:val="20"/>
          <w:szCs w:val="20"/>
          <w:color w:val="auto"/>
        </w:rPr>
      </w:pPr>
      <w:r>
        <w:rPr>
          <w:rFonts w:ascii="Calibri" w:cs="Calibri" w:eastAsia="Calibri" w:hAnsi="Calibri"/>
          <w:sz w:val="18"/>
          <w:szCs w:val="18"/>
          <w:b w:val="1"/>
          <w:bCs w:val="1"/>
          <w:color w:val="auto"/>
        </w:rPr>
        <w:t xml:space="preserve">Reconciliaton of non-GAAP fnancial measure of Adjusted net income (loss) and Adjusted diluted earnings (loss) per share and their comparable GAAP measure of Net income (loss) and Diluted earnings (loss) per share is presented below. </w:t>
      </w:r>
      <w:r>
        <w:rPr>
          <w:rFonts w:ascii="Calibri" w:cs="Calibri" w:eastAsia="Calibri" w:hAnsi="Calibri"/>
          <w:sz w:val="18"/>
          <w:szCs w:val="18"/>
          <w:b w:val="1"/>
          <w:bCs w:val="1"/>
          <w:i w:val="1"/>
          <w:iCs w:val="1"/>
          <w:color w:val="auto"/>
        </w:rPr>
        <w:t>Note that the comparable GAAP measures related to net income</w:t>
      </w:r>
      <w:r>
        <w:rPr>
          <w:rFonts w:ascii="Calibri" w:cs="Calibri" w:eastAsia="Calibri" w:hAnsi="Calibri"/>
          <w:sz w:val="18"/>
          <w:szCs w:val="18"/>
          <w:b w:val="1"/>
          <w:bCs w:val="1"/>
          <w:color w:val="auto"/>
        </w:rPr>
        <w:t xml:space="preserve"> </w:t>
      </w:r>
      <w:r>
        <w:rPr>
          <w:rFonts w:ascii="Calibri" w:cs="Calibri" w:eastAsia="Calibri" w:hAnsi="Calibri"/>
          <w:sz w:val="18"/>
          <w:szCs w:val="18"/>
          <w:b w:val="1"/>
          <w:bCs w:val="1"/>
          <w:i w:val="1"/>
          <w:iCs w:val="1"/>
          <w:color w:val="auto"/>
        </w:rPr>
        <w:t>(loss) are also included in Note 13 - Segment Informaton in the Company’s December 31, 2024 Form 10-K.</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20" w:type="dxa"/>
            <w:vAlign w:val="bottom"/>
            <w:gridSpan w:val="2"/>
          </w:tcPr>
          <w:p>
            <w:pPr>
              <w:spacing w:after="0"/>
              <w:rPr>
                <w:sz w:val="20"/>
                <w:szCs w:val="20"/>
                <w:color w:val="auto"/>
              </w:rPr>
            </w:pPr>
            <w:r>
              <w:rPr>
                <w:rFonts w:ascii="Calibri" w:cs="Calibri" w:eastAsia="Calibri" w:hAnsi="Calibri"/>
                <w:sz w:val="18"/>
                <w:szCs w:val="18"/>
                <w:b w:val="1"/>
                <w:bCs w:val="1"/>
                <w:color w:val="auto"/>
              </w:rPr>
              <w:t>Amounts in thousands, except per share amounts</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25"/>
        </w:trPr>
        <w:tc>
          <w:tcPr>
            <w:tcW w:w="1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ind w:left="20"/>
              <w:spacing w:after="0"/>
              <w:rPr>
                <w:sz w:val="20"/>
                <w:szCs w:val="20"/>
                <w:color w:val="auto"/>
              </w:rPr>
            </w:pPr>
            <w:r>
              <w:rPr>
                <w:rFonts w:ascii="Calibri" w:cs="Calibri" w:eastAsia="Calibri" w:hAnsi="Calibri"/>
                <w:sz w:val="18"/>
                <w:szCs w:val="18"/>
                <w:color w:val="auto"/>
              </w:rPr>
              <w:t>Three Months Ended December</w:t>
            </w:r>
          </w:p>
        </w:tc>
        <w:tc>
          <w:tcPr>
            <w:tcW w:w="2520" w:type="dxa"/>
            <w:vAlign w:val="bottom"/>
            <w:gridSpan w:val="5"/>
          </w:tcPr>
          <w:p>
            <w:pPr>
              <w:jc w:val="right"/>
              <w:spacing w:after="0"/>
              <w:rPr>
                <w:sz w:val="20"/>
                <w:szCs w:val="20"/>
                <w:color w:val="auto"/>
              </w:rPr>
            </w:pPr>
            <w:r>
              <w:rPr>
                <w:rFonts w:ascii="Calibri" w:cs="Calibri" w:eastAsia="Calibri" w:hAnsi="Calibri"/>
                <w:sz w:val="18"/>
                <w:szCs w:val="18"/>
                <w:color w:val="auto"/>
                <w:w w:val="99"/>
              </w:rPr>
              <w:t>Twelve Months Ended December</w:t>
            </w:r>
          </w:p>
        </w:tc>
      </w:tr>
      <w:tr>
        <w:trPr>
          <w:trHeight w:val="215"/>
        </w:trPr>
        <w:tc>
          <w:tcPr>
            <w:tcW w:w="1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130"/>
              <w:spacing w:after="0" w:line="215" w:lineRule="exact"/>
              <w:rPr>
                <w:sz w:val="20"/>
                <w:szCs w:val="20"/>
                <w:color w:val="auto"/>
              </w:rPr>
            </w:pPr>
            <w:r>
              <w:rPr>
                <w:rFonts w:ascii="Calibri" w:cs="Calibri" w:eastAsia="Calibri" w:hAnsi="Calibri"/>
                <w:sz w:val="18"/>
                <w:szCs w:val="18"/>
                <w:color w:val="auto"/>
              </w:rPr>
              <w:t>31,</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130"/>
              <w:spacing w:after="0" w:line="215" w:lineRule="exact"/>
              <w:rPr>
                <w:sz w:val="20"/>
                <w:szCs w:val="20"/>
                <w:color w:val="auto"/>
              </w:rPr>
            </w:pPr>
            <w:r>
              <w:rPr>
                <w:rFonts w:ascii="Calibri" w:cs="Calibri" w:eastAsia="Calibri" w:hAnsi="Calibri"/>
                <w:sz w:val="18"/>
                <w:szCs w:val="18"/>
                <w:color w:val="auto"/>
              </w:rPr>
              <w:t>31,</w:t>
            </w:r>
          </w:p>
        </w:tc>
        <w:tc>
          <w:tcPr>
            <w:tcW w:w="940" w:type="dxa"/>
            <w:vAlign w:val="bottom"/>
          </w:tcPr>
          <w:p>
            <w:pPr>
              <w:spacing w:after="0"/>
              <w:rPr>
                <w:sz w:val="18"/>
                <w:szCs w:val="18"/>
                <w:color w:val="auto"/>
              </w:rPr>
            </w:pPr>
          </w:p>
        </w:tc>
      </w:tr>
      <w:tr>
        <w:trPr>
          <w:trHeight w:val="37"/>
        </w:trPr>
        <w:tc>
          <w:tcPr>
            <w:tcW w:w="180" w:type="dxa"/>
            <w:vAlign w:val="bottom"/>
          </w:tcPr>
          <w:p>
            <w:pPr>
              <w:spacing w:after="0"/>
              <w:rPr>
                <w:sz w:val="3"/>
                <w:szCs w:val="3"/>
                <w:color w:val="auto"/>
              </w:rPr>
            </w:pPr>
          </w:p>
        </w:tc>
        <w:tc>
          <w:tcPr>
            <w:tcW w:w="57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16"/>
        </w:trPr>
        <w:tc>
          <w:tcPr>
            <w:tcW w:w="180" w:type="dxa"/>
            <w:vAlign w:val="bottom"/>
          </w:tcPr>
          <w:p>
            <w:pPr>
              <w:spacing w:after="0"/>
              <w:rPr>
                <w:sz w:val="18"/>
                <w:szCs w:val="18"/>
                <w:color w:val="auto"/>
              </w:rPr>
            </w:pPr>
          </w:p>
        </w:tc>
        <w:tc>
          <w:tcPr>
            <w:tcW w:w="5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line="215" w:lineRule="exact"/>
              <w:rPr>
                <w:sz w:val="20"/>
                <w:szCs w:val="20"/>
                <w:color w:val="auto"/>
              </w:rPr>
            </w:pPr>
            <w:r>
              <w:rPr>
                <w:rFonts w:ascii="Calibri" w:cs="Calibri" w:eastAsia="Calibri" w:hAnsi="Calibri"/>
                <w:sz w:val="18"/>
                <w:szCs w:val="18"/>
                <w:color w:val="auto"/>
              </w:rPr>
              <w:t>2024</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line="215" w:lineRule="exact"/>
              <w:rPr>
                <w:sz w:val="20"/>
                <w:szCs w:val="20"/>
                <w:color w:val="auto"/>
              </w:rPr>
            </w:pPr>
            <w:r>
              <w:rPr>
                <w:rFonts w:ascii="Calibri" w:cs="Calibri" w:eastAsia="Calibri" w:hAnsi="Calibri"/>
                <w:sz w:val="18"/>
                <w:szCs w:val="18"/>
                <w:color w:val="auto"/>
              </w:rPr>
              <w:t>2023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line="215" w:lineRule="exact"/>
              <w:rPr>
                <w:sz w:val="20"/>
                <w:szCs w:val="20"/>
                <w:color w:val="auto"/>
              </w:rPr>
            </w:pPr>
            <w:r>
              <w:rPr>
                <w:rFonts w:ascii="Calibri" w:cs="Calibri" w:eastAsia="Calibri" w:hAnsi="Calibri"/>
                <w:sz w:val="18"/>
                <w:szCs w:val="18"/>
                <w:color w:val="auto"/>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line="215" w:lineRule="exact"/>
              <w:rPr>
                <w:sz w:val="20"/>
                <w:szCs w:val="20"/>
                <w:color w:val="auto"/>
              </w:rPr>
            </w:pPr>
            <w:r>
              <w:rPr>
                <w:rFonts w:ascii="Calibri" w:cs="Calibri" w:eastAsia="Calibri" w:hAnsi="Calibri"/>
                <w:sz w:val="18"/>
                <w:szCs w:val="18"/>
                <w:color w:val="auto"/>
              </w:rPr>
              <w:t>2023</w:t>
            </w:r>
          </w:p>
        </w:tc>
      </w:tr>
      <w:tr>
        <w:trPr>
          <w:trHeight w:val="153"/>
        </w:trPr>
        <w:tc>
          <w:tcPr>
            <w:tcW w:w="180" w:type="dxa"/>
            <w:vAlign w:val="bottom"/>
          </w:tcPr>
          <w:p>
            <w:pPr>
              <w:spacing w:after="0"/>
              <w:rPr>
                <w:sz w:val="13"/>
                <w:szCs w:val="13"/>
                <w:color w:val="auto"/>
              </w:rPr>
            </w:pPr>
          </w:p>
        </w:tc>
        <w:tc>
          <w:tcPr>
            <w:tcW w:w="5740" w:type="dxa"/>
            <w:vAlign w:val="bottom"/>
            <w:shd w:val="clear" w:color="auto" w:fill="CCEEFF"/>
          </w:tcPr>
          <w:p>
            <w:pPr>
              <w:ind w:left="20"/>
              <w:spacing w:after="0" w:line="153" w:lineRule="exact"/>
              <w:rPr>
                <w:sz w:val="20"/>
                <w:szCs w:val="20"/>
                <w:color w:val="auto"/>
              </w:rPr>
            </w:pPr>
            <w:r>
              <w:rPr>
                <w:rFonts w:ascii="Calibri" w:cs="Calibri" w:eastAsia="Calibri" w:hAnsi="Calibri"/>
                <w:sz w:val="16"/>
                <w:szCs w:val="16"/>
                <w:color w:val="auto"/>
              </w:rPr>
              <w:t>Reconciliaton of Net income (loss) to non-GAAP measure of Adjusted net</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32"/>
        </w:trPr>
        <w:tc>
          <w:tcPr>
            <w:tcW w:w="180" w:type="dxa"/>
            <w:vAlign w:val="bottom"/>
          </w:tcPr>
          <w:p>
            <w:pPr>
              <w:spacing w:after="0"/>
              <w:rPr>
                <w:sz w:val="20"/>
                <w:szCs w:val="20"/>
                <w:color w:val="auto"/>
              </w:rPr>
            </w:pPr>
          </w:p>
        </w:tc>
        <w:tc>
          <w:tcPr>
            <w:tcW w:w="5740" w:type="dxa"/>
            <w:vAlign w:val="bottom"/>
            <w:tcBorders>
              <w:bottom w:val="single" w:sz="8" w:color="CCEEFF"/>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income (loss)</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2"/>
        </w:trPr>
        <w:tc>
          <w:tcPr>
            <w:tcW w:w="180" w:type="dxa"/>
            <w:vAlign w:val="bottom"/>
          </w:tcPr>
          <w:p>
            <w:pPr>
              <w:spacing w:after="0"/>
              <w:rPr>
                <w:sz w:val="19"/>
                <w:szCs w:val="19"/>
                <w:color w:val="auto"/>
              </w:rPr>
            </w:pPr>
          </w:p>
        </w:tc>
        <w:tc>
          <w:tcPr>
            <w:tcW w:w="574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 applicable to Natural Gas Distributon (GAAP)</w:t>
            </w:r>
          </w:p>
        </w:tc>
        <w:tc>
          <w:tcPr>
            <w:tcW w:w="10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97,185</w:t>
            </w:r>
          </w:p>
        </w:tc>
        <w:tc>
          <w:tcPr>
            <w:tcW w:w="140" w:type="dxa"/>
            <w:vAlign w:val="bottom"/>
          </w:tcPr>
          <w:p>
            <w:pPr>
              <w:spacing w:after="0"/>
              <w:rPr>
                <w:sz w:val="19"/>
                <w:szCs w:val="19"/>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91,661</w:t>
            </w:r>
          </w:p>
        </w:tc>
        <w:tc>
          <w:tcPr>
            <w:tcW w:w="120" w:type="dxa"/>
            <w:vAlign w:val="bottom"/>
          </w:tcPr>
          <w:p>
            <w:pPr>
              <w:spacing w:after="0"/>
              <w:rPr>
                <w:sz w:val="19"/>
                <w:szCs w:val="19"/>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261,176</w:t>
            </w:r>
          </w:p>
        </w:tc>
        <w:tc>
          <w:tcPr>
            <w:tcW w:w="120" w:type="dxa"/>
            <w:vAlign w:val="bottom"/>
          </w:tcPr>
          <w:p>
            <w:pPr>
              <w:spacing w:after="0"/>
              <w:rPr>
                <w:sz w:val="19"/>
                <w:szCs w:val="19"/>
                <w:color w:val="auto"/>
              </w:rPr>
            </w:pP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242,226</w:t>
            </w:r>
          </w:p>
        </w:tc>
      </w:tr>
      <w:tr>
        <w:trPr>
          <w:trHeight w:val="237"/>
        </w:trPr>
        <w:tc>
          <w:tcPr>
            <w:tcW w:w="180" w:type="dxa"/>
            <w:vAlign w:val="bottom"/>
          </w:tcPr>
          <w:p>
            <w:pPr>
              <w:spacing w:after="0"/>
              <w:rPr>
                <w:sz w:val="20"/>
                <w:szCs w:val="20"/>
                <w:color w:val="auto"/>
              </w:rPr>
            </w:pPr>
          </w:p>
        </w:tc>
        <w:tc>
          <w:tcPr>
            <w:tcW w:w="574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Plus:</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167"/>
        </w:trPr>
        <w:tc>
          <w:tcPr>
            <w:tcW w:w="180" w:type="dxa"/>
            <w:vAlign w:val="bottom"/>
          </w:tcPr>
          <w:p>
            <w:pPr>
              <w:spacing w:after="0"/>
              <w:rPr>
                <w:sz w:val="14"/>
                <w:szCs w:val="14"/>
                <w:color w:val="auto"/>
              </w:rPr>
            </w:pPr>
          </w:p>
        </w:tc>
        <w:tc>
          <w:tcPr>
            <w:tcW w:w="5740" w:type="dxa"/>
            <w:vAlign w:val="bottom"/>
          </w:tcPr>
          <w:p>
            <w:pPr>
              <w:ind w:left="340"/>
              <w:spacing w:after="0" w:line="166" w:lineRule="exact"/>
              <w:rPr>
                <w:sz w:val="20"/>
                <w:szCs w:val="20"/>
                <w:color w:val="auto"/>
              </w:rPr>
            </w:pPr>
            <w:r>
              <w:rPr>
                <w:rFonts w:ascii="Calibri" w:cs="Calibri" w:eastAsia="Calibri" w:hAnsi="Calibri"/>
                <w:sz w:val="18"/>
                <w:szCs w:val="18"/>
                <w:color w:val="auto"/>
              </w:rPr>
              <w:t>Consultng fees related to optmizaton opportunity identfcaton,</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8"/>
        </w:trPr>
        <w:tc>
          <w:tcPr>
            <w:tcW w:w="180" w:type="dxa"/>
            <w:vAlign w:val="bottom"/>
          </w:tcPr>
          <w:p>
            <w:pPr>
              <w:spacing w:after="0"/>
              <w:rPr>
                <w:sz w:val="19"/>
                <w:szCs w:val="19"/>
                <w:color w:val="auto"/>
              </w:rPr>
            </w:pPr>
          </w:p>
        </w:tc>
        <w:tc>
          <w:tcPr>
            <w:tcW w:w="5740" w:type="dxa"/>
            <w:vAlign w:val="bottom"/>
          </w:tcPr>
          <w:p>
            <w:pPr>
              <w:ind w:left="340"/>
              <w:spacing w:after="0" w:line="215" w:lineRule="exact"/>
              <w:rPr>
                <w:sz w:val="20"/>
                <w:szCs w:val="20"/>
                <w:color w:val="auto"/>
              </w:rPr>
            </w:pPr>
            <w:r>
              <w:rPr>
                <w:rFonts w:ascii="Calibri" w:cs="Calibri" w:eastAsia="Calibri" w:hAnsi="Calibri"/>
                <w:sz w:val="18"/>
                <w:szCs w:val="18"/>
                <w:color w:val="auto"/>
              </w:rPr>
              <w:t>benchmarking, and assessment</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4,717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8,326</w:t>
            </w:r>
          </w:p>
        </w:tc>
      </w:tr>
      <w:tr>
        <w:trPr>
          <w:trHeight w:val="23"/>
        </w:trPr>
        <w:tc>
          <w:tcPr>
            <w:tcW w:w="1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180" w:type="dxa"/>
            <w:vAlign w:val="bottom"/>
          </w:tcPr>
          <w:p>
            <w:pPr>
              <w:spacing w:after="0"/>
              <w:rPr>
                <w:sz w:val="19"/>
                <w:szCs w:val="19"/>
                <w:color w:val="auto"/>
              </w:rPr>
            </w:pPr>
          </w:p>
        </w:tc>
        <w:tc>
          <w:tcPr>
            <w:tcW w:w="5740" w:type="dxa"/>
            <w:vAlign w:val="bottom"/>
            <w:shd w:val="clear" w:color="auto" w:fill="CCEEFF"/>
          </w:tcPr>
          <w:p>
            <w:pPr>
              <w:ind w:left="340"/>
              <w:spacing w:after="0" w:line="230" w:lineRule="exact"/>
              <w:rPr>
                <w:sz w:val="20"/>
                <w:szCs w:val="20"/>
                <w:color w:val="auto"/>
              </w:rPr>
            </w:pPr>
            <w:r>
              <w:rPr>
                <w:rFonts w:ascii="Calibri" w:cs="Calibri" w:eastAsia="Calibri" w:hAnsi="Calibri"/>
                <w:sz w:val="18"/>
                <w:szCs w:val="18"/>
                <w:color w:val="auto"/>
              </w:rPr>
              <w:t>Income tax efect of adjustment above</w:t>
            </w:r>
            <w:r>
              <w:rPr>
                <w:rFonts w:ascii="Calibri" w:cs="Calibri" w:eastAsia="Calibri" w:hAnsi="Calibri"/>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(1,999)</w:t>
            </w:r>
          </w:p>
        </w:tc>
      </w:tr>
      <w:tr>
        <w:trPr>
          <w:trHeight w:val="223"/>
        </w:trPr>
        <w:tc>
          <w:tcPr>
            <w:tcW w:w="180" w:type="dxa"/>
            <w:vAlign w:val="bottom"/>
          </w:tcPr>
          <w:p>
            <w:pPr>
              <w:spacing w:after="0"/>
              <w:rPr>
                <w:sz w:val="19"/>
                <w:szCs w:val="19"/>
                <w:color w:val="auto"/>
              </w:rPr>
            </w:pPr>
          </w:p>
        </w:tc>
        <w:tc>
          <w:tcPr>
            <w:tcW w:w="5740" w:type="dxa"/>
            <w:vAlign w:val="bottom"/>
          </w:tcPr>
          <w:p>
            <w:pPr>
              <w:ind w:left="120"/>
              <w:spacing w:after="0"/>
              <w:rPr>
                <w:sz w:val="20"/>
                <w:szCs w:val="20"/>
                <w:color w:val="auto"/>
              </w:rPr>
            </w:pPr>
            <w:r>
              <w:rPr>
                <w:rFonts w:ascii="Calibri" w:cs="Calibri" w:eastAsia="Calibri" w:hAnsi="Calibri"/>
                <w:sz w:val="18"/>
                <w:szCs w:val="18"/>
                <w:color w:val="auto"/>
              </w:rPr>
              <w:t>Adjusted net income applicable to Natural Gas Distributon</w:t>
            </w:r>
          </w:p>
        </w:tc>
        <w:tc>
          <w:tcPr>
            <w:tcW w:w="1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97,185</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95,246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261,176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248,553</w:t>
            </w:r>
          </w:p>
        </w:tc>
      </w:tr>
      <w:tr>
        <w:trPr>
          <w:trHeight w:val="20"/>
        </w:trPr>
        <w:tc>
          <w:tcPr>
            <w:tcW w:w="180" w:type="dxa"/>
            <w:vAlign w:val="bottom"/>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5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2"/>
        </w:trPr>
        <w:tc>
          <w:tcPr>
            <w:tcW w:w="180" w:type="dxa"/>
            <w:vAlign w:val="bottom"/>
          </w:tcPr>
          <w:p>
            <w:pPr>
              <w:spacing w:after="0"/>
              <w:rPr>
                <w:sz w:val="19"/>
                <w:szCs w:val="19"/>
                <w:color w:val="auto"/>
              </w:rPr>
            </w:pPr>
          </w:p>
        </w:tc>
        <w:tc>
          <w:tcPr>
            <w:tcW w:w="574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 (loss) applicable to Utlity Infrastructure Services (GAAP)</w:t>
            </w:r>
          </w:p>
        </w:tc>
        <w:tc>
          <w:tcPr>
            <w:tcW w:w="10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8,134</w:t>
            </w:r>
          </w:p>
        </w:tc>
        <w:tc>
          <w:tcPr>
            <w:tcW w:w="140" w:type="dxa"/>
            <w:vAlign w:val="bottom"/>
          </w:tcPr>
          <w:p>
            <w:pPr>
              <w:spacing w:after="0"/>
              <w:rPr>
                <w:sz w:val="19"/>
                <w:szCs w:val="19"/>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(5,250)</w:t>
            </w:r>
          </w:p>
        </w:tc>
        <w:tc>
          <w:tcPr>
            <w:tcW w:w="120" w:type="dxa"/>
            <w:vAlign w:val="bottom"/>
          </w:tcPr>
          <w:p>
            <w:pPr>
              <w:spacing w:after="0"/>
              <w:rPr>
                <w:sz w:val="19"/>
                <w:szCs w:val="19"/>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(13,086)</w:t>
            </w:r>
          </w:p>
        </w:tc>
        <w:tc>
          <w:tcPr>
            <w:tcW w:w="120" w:type="dxa"/>
            <w:vAlign w:val="bottom"/>
          </w:tcPr>
          <w:p>
            <w:pPr>
              <w:spacing w:after="0"/>
              <w:rPr>
                <w:sz w:val="19"/>
                <w:szCs w:val="19"/>
                <w:color w:val="auto"/>
              </w:rPr>
            </w:pP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19,652</w:t>
            </w:r>
          </w:p>
        </w:tc>
      </w:tr>
      <w:tr>
        <w:trPr>
          <w:trHeight w:val="237"/>
        </w:trPr>
        <w:tc>
          <w:tcPr>
            <w:tcW w:w="180" w:type="dxa"/>
            <w:vAlign w:val="bottom"/>
          </w:tcPr>
          <w:p>
            <w:pPr>
              <w:spacing w:after="0"/>
              <w:rPr>
                <w:sz w:val="20"/>
                <w:szCs w:val="20"/>
                <w:color w:val="auto"/>
              </w:rPr>
            </w:pPr>
          </w:p>
        </w:tc>
        <w:tc>
          <w:tcPr>
            <w:tcW w:w="574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Plus:</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2"/>
        </w:trPr>
        <w:tc>
          <w:tcPr>
            <w:tcW w:w="180" w:type="dxa"/>
            <w:vAlign w:val="bottom"/>
          </w:tcPr>
          <w:p>
            <w:pPr>
              <w:spacing w:after="0"/>
              <w:rPr>
                <w:sz w:val="19"/>
                <w:szCs w:val="19"/>
                <w:color w:val="auto"/>
              </w:rPr>
            </w:pPr>
          </w:p>
        </w:tc>
        <w:tc>
          <w:tcPr>
            <w:tcW w:w="5740" w:type="dxa"/>
            <w:vAlign w:val="bottom"/>
          </w:tcPr>
          <w:p>
            <w:pPr>
              <w:ind w:left="340"/>
              <w:spacing w:after="0" w:line="215" w:lineRule="exact"/>
              <w:rPr>
                <w:sz w:val="20"/>
                <w:szCs w:val="20"/>
                <w:color w:val="auto"/>
              </w:rPr>
            </w:pPr>
            <w:r>
              <w:rPr>
                <w:rFonts w:ascii="Calibri" w:cs="Calibri" w:eastAsia="Calibri" w:hAnsi="Calibri"/>
                <w:sz w:val="18"/>
                <w:szCs w:val="18"/>
                <w:color w:val="auto"/>
              </w:rPr>
              <w:t>Strategic review, including Centuri separaton</w:t>
            </w:r>
          </w:p>
        </w:tc>
        <w:tc>
          <w:tcPr>
            <w:tcW w:w="10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1,479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1,588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4,074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3,365</w:t>
            </w:r>
          </w:p>
        </w:tc>
      </w:tr>
      <w:tr>
        <w:trPr>
          <w:trHeight w:val="237"/>
        </w:trPr>
        <w:tc>
          <w:tcPr>
            <w:tcW w:w="180" w:type="dxa"/>
            <w:vAlign w:val="bottom"/>
          </w:tcPr>
          <w:p>
            <w:pPr>
              <w:spacing w:after="0"/>
              <w:rPr>
                <w:sz w:val="20"/>
                <w:szCs w:val="20"/>
                <w:color w:val="auto"/>
              </w:rPr>
            </w:pPr>
          </w:p>
        </w:tc>
        <w:tc>
          <w:tcPr>
            <w:tcW w:w="5740" w:type="dxa"/>
            <w:vAlign w:val="bottom"/>
            <w:shd w:val="clear" w:color="auto" w:fill="CCEEFF"/>
          </w:tcPr>
          <w:p>
            <w:pPr>
              <w:ind w:left="340"/>
              <w:spacing w:after="0" w:line="237" w:lineRule="exact"/>
              <w:rPr>
                <w:sz w:val="20"/>
                <w:szCs w:val="20"/>
                <w:color w:val="auto"/>
              </w:rPr>
            </w:pPr>
            <w:r>
              <w:rPr>
                <w:rFonts w:ascii="Calibri" w:cs="Calibri" w:eastAsia="Calibri" w:hAnsi="Calibri"/>
                <w:sz w:val="18"/>
                <w:szCs w:val="18"/>
                <w:color w:val="auto"/>
              </w:rPr>
              <w:t>Income tax efect of adjustment above</w:t>
            </w:r>
            <w:r>
              <w:rPr>
                <w:rFonts w:ascii="Calibri" w:cs="Calibri" w:eastAsia="Calibri" w:hAnsi="Calibri"/>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(363)</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(540)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(841)</w:t>
            </w:r>
          </w:p>
        </w:tc>
      </w:tr>
      <w:tr>
        <w:trPr>
          <w:trHeight w:val="222"/>
        </w:trPr>
        <w:tc>
          <w:tcPr>
            <w:tcW w:w="180" w:type="dxa"/>
            <w:vAlign w:val="bottom"/>
          </w:tcPr>
          <w:p>
            <w:pPr>
              <w:spacing w:after="0"/>
              <w:rPr>
                <w:sz w:val="19"/>
                <w:szCs w:val="19"/>
                <w:color w:val="auto"/>
              </w:rPr>
            </w:pPr>
          </w:p>
        </w:tc>
        <w:tc>
          <w:tcPr>
            <w:tcW w:w="5740" w:type="dxa"/>
            <w:vAlign w:val="bottom"/>
          </w:tcPr>
          <w:p>
            <w:pPr>
              <w:ind w:left="340"/>
              <w:spacing w:after="0" w:line="215" w:lineRule="exact"/>
              <w:rPr>
                <w:sz w:val="20"/>
                <w:szCs w:val="20"/>
                <w:color w:val="auto"/>
              </w:rPr>
            </w:pPr>
            <w:r>
              <w:rPr>
                <w:rFonts w:ascii="Calibri" w:cs="Calibri" w:eastAsia="Calibri" w:hAnsi="Calibri"/>
                <w:sz w:val="18"/>
                <w:szCs w:val="18"/>
                <w:color w:val="auto"/>
              </w:rPr>
              <w:t>Accounts receivable securitzaton fees and Debt extnguishment loss</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2,525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180" w:type="dxa"/>
            <w:vAlign w:val="bottom"/>
          </w:tcPr>
          <w:p>
            <w:pPr>
              <w:spacing w:after="0"/>
              <w:rPr>
                <w:sz w:val="20"/>
                <w:szCs w:val="20"/>
                <w:color w:val="auto"/>
              </w:rPr>
            </w:pPr>
          </w:p>
        </w:tc>
        <w:tc>
          <w:tcPr>
            <w:tcW w:w="5740" w:type="dxa"/>
            <w:vAlign w:val="bottom"/>
            <w:shd w:val="clear" w:color="auto" w:fill="CCEEFF"/>
          </w:tcPr>
          <w:p>
            <w:pPr>
              <w:ind w:left="340"/>
              <w:spacing w:after="0" w:line="237" w:lineRule="exact"/>
              <w:rPr>
                <w:sz w:val="20"/>
                <w:szCs w:val="20"/>
                <w:color w:val="auto"/>
              </w:rPr>
            </w:pPr>
            <w:r>
              <w:rPr>
                <w:rFonts w:ascii="Calibri" w:cs="Calibri" w:eastAsia="Calibri" w:hAnsi="Calibri"/>
                <w:sz w:val="18"/>
                <w:szCs w:val="18"/>
                <w:color w:val="auto"/>
              </w:rPr>
              <w:t>Income tax efect of adjustment above</w:t>
            </w:r>
            <w:r>
              <w:rPr>
                <w:rFonts w:ascii="Calibri" w:cs="Calibri" w:eastAsia="Calibri" w:hAnsi="Calibri"/>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(620)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30"/>
        </w:trPr>
        <w:tc>
          <w:tcPr>
            <w:tcW w:w="180" w:type="dxa"/>
            <w:vAlign w:val="bottom"/>
          </w:tcPr>
          <w:p>
            <w:pPr>
              <w:spacing w:after="0"/>
              <w:rPr>
                <w:sz w:val="19"/>
                <w:szCs w:val="19"/>
                <w:color w:val="auto"/>
              </w:rPr>
            </w:pPr>
          </w:p>
        </w:tc>
        <w:tc>
          <w:tcPr>
            <w:tcW w:w="5740" w:type="dxa"/>
            <w:vAlign w:val="bottom"/>
          </w:tcPr>
          <w:p>
            <w:pPr>
              <w:ind w:left="340"/>
              <w:spacing w:after="0" w:line="230" w:lineRule="exact"/>
              <w:rPr>
                <w:sz w:val="20"/>
                <w:szCs w:val="20"/>
                <w:color w:val="auto"/>
              </w:rPr>
            </w:pPr>
            <w:r>
              <w:rPr>
                <w:rFonts w:ascii="Calibri" w:cs="Calibri" w:eastAsia="Calibri" w:hAnsi="Calibri"/>
                <w:sz w:val="18"/>
                <w:szCs w:val="18"/>
                <w:color w:val="auto"/>
              </w:rPr>
              <w:t>Amortzaton of intangible assets</w:t>
            </w:r>
            <w:r>
              <w:rPr>
                <w:rFonts w:ascii="Calibri" w:cs="Calibri" w:eastAsia="Calibri" w:hAnsi="Calibri"/>
                <w:sz w:val="23"/>
                <w:szCs w:val="23"/>
                <w:color w:val="auto"/>
                <w:vertAlign w:val="superscript"/>
              </w:rPr>
              <w:t>(2)</w:t>
            </w:r>
          </w:p>
        </w:tc>
        <w:tc>
          <w:tcPr>
            <w:tcW w:w="10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5,385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6,663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23,132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26,670</w:t>
            </w:r>
          </w:p>
        </w:tc>
      </w:tr>
      <w:tr>
        <w:trPr>
          <w:trHeight w:val="229"/>
        </w:trPr>
        <w:tc>
          <w:tcPr>
            <w:tcW w:w="180" w:type="dxa"/>
            <w:vAlign w:val="bottom"/>
          </w:tcPr>
          <w:p>
            <w:pPr>
              <w:spacing w:after="0"/>
              <w:rPr>
                <w:sz w:val="19"/>
                <w:szCs w:val="19"/>
                <w:color w:val="auto"/>
              </w:rPr>
            </w:pPr>
          </w:p>
        </w:tc>
        <w:tc>
          <w:tcPr>
            <w:tcW w:w="5740" w:type="dxa"/>
            <w:vAlign w:val="bottom"/>
            <w:shd w:val="clear" w:color="auto" w:fill="CCEEFF"/>
          </w:tcPr>
          <w:p>
            <w:pPr>
              <w:ind w:left="340"/>
              <w:spacing w:after="0" w:line="230" w:lineRule="exact"/>
              <w:rPr>
                <w:sz w:val="20"/>
                <w:szCs w:val="20"/>
                <w:color w:val="auto"/>
              </w:rPr>
            </w:pPr>
            <w:r>
              <w:rPr>
                <w:rFonts w:ascii="Calibri" w:cs="Calibri" w:eastAsia="Calibri" w:hAnsi="Calibri"/>
                <w:sz w:val="18"/>
                <w:szCs w:val="18"/>
                <w:color w:val="auto"/>
              </w:rPr>
              <w:t>Income tax efect of adjustment above</w:t>
            </w:r>
            <w:r>
              <w:rPr>
                <w:rFonts w:ascii="Calibri" w:cs="Calibri" w:eastAsia="Calibri" w:hAnsi="Calibri"/>
                <w:sz w:val="23"/>
                <w:szCs w:val="23"/>
                <w:color w:val="auto"/>
                <w:vertAlign w:val="superscript"/>
              </w:rPr>
              <w:t>(1)</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(1,321)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(1,635)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(5,676)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(6,543)</w:t>
            </w:r>
          </w:p>
        </w:tc>
      </w:tr>
      <w:tr>
        <w:trPr>
          <w:trHeight w:val="223"/>
        </w:trPr>
        <w:tc>
          <w:tcPr>
            <w:tcW w:w="180" w:type="dxa"/>
            <w:vAlign w:val="bottom"/>
          </w:tcPr>
          <w:p>
            <w:pPr>
              <w:spacing w:after="0"/>
              <w:rPr>
                <w:sz w:val="19"/>
                <w:szCs w:val="19"/>
                <w:color w:val="auto"/>
              </w:rPr>
            </w:pPr>
          </w:p>
        </w:tc>
        <w:tc>
          <w:tcPr>
            <w:tcW w:w="5740" w:type="dxa"/>
            <w:vAlign w:val="bottom"/>
          </w:tcPr>
          <w:p>
            <w:pPr>
              <w:ind w:left="120"/>
              <w:spacing w:after="0"/>
              <w:rPr>
                <w:sz w:val="20"/>
                <w:szCs w:val="20"/>
                <w:color w:val="auto"/>
              </w:rPr>
            </w:pPr>
            <w:r>
              <w:rPr>
                <w:rFonts w:ascii="Calibri" w:cs="Calibri" w:eastAsia="Calibri" w:hAnsi="Calibri"/>
                <w:sz w:val="18"/>
                <w:szCs w:val="18"/>
                <w:color w:val="auto"/>
              </w:rPr>
              <w:t>Adjusted net income applicable to Utlity Infrastructure Services</w:t>
            </w:r>
          </w:p>
        </w:tc>
        <w:tc>
          <w:tcPr>
            <w:tcW w:w="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13,314</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969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9,809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42,303</w:t>
            </w:r>
          </w:p>
        </w:tc>
      </w:tr>
      <w:tr>
        <w:trPr>
          <w:trHeight w:val="20"/>
        </w:trPr>
        <w:tc>
          <w:tcPr>
            <w:tcW w:w="180" w:type="dxa"/>
            <w:vAlign w:val="bottom"/>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5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180" w:type="dxa"/>
            <w:vAlign w:val="bottom"/>
          </w:tcPr>
          <w:p>
            <w:pPr>
              <w:spacing w:after="0"/>
              <w:rPr>
                <w:sz w:val="19"/>
                <w:szCs w:val="19"/>
                <w:color w:val="auto"/>
              </w:rPr>
            </w:pPr>
          </w:p>
        </w:tc>
        <w:tc>
          <w:tcPr>
            <w:tcW w:w="5740" w:type="dxa"/>
            <w:vAlign w:val="bottom"/>
          </w:tcPr>
          <w:p>
            <w:pPr>
              <w:ind w:left="120"/>
              <w:spacing w:after="0" w:line="230" w:lineRule="exact"/>
              <w:rPr>
                <w:sz w:val="20"/>
                <w:szCs w:val="20"/>
                <w:color w:val="auto"/>
              </w:rPr>
            </w:pPr>
            <w:r>
              <w:rPr>
                <w:rFonts w:ascii="Calibri" w:cs="Calibri" w:eastAsia="Calibri" w:hAnsi="Calibri"/>
                <w:sz w:val="18"/>
                <w:szCs w:val="18"/>
                <w:color w:val="auto"/>
              </w:rPr>
              <w:t>Net loss applicable to Pipeline and Storage (GAAP)</w:t>
            </w:r>
            <w:r>
              <w:rPr>
                <w:rFonts w:ascii="Calibri" w:cs="Calibri" w:eastAsia="Calibri" w:hAnsi="Calibri"/>
                <w:sz w:val="23"/>
                <w:szCs w:val="23"/>
                <w:color w:val="auto"/>
                <w:vertAlign w:val="superscript"/>
              </w:rPr>
              <w:t>(2)</w:t>
            </w:r>
          </w:p>
        </w:tc>
        <w:tc>
          <w:tcPr>
            <w:tcW w:w="10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(16,288)</w:t>
            </w:r>
          </w:p>
        </w:tc>
      </w:tr>
      <w:tr>
        <w:trPr>
          <w:trHeight w:val="230"/>
        </w:trPr>
        <w:tc>
          <w:tcPr>
            <w:tcW w:w="180" w:type="dxa"/>
            <w:vAlign w:val="bottom"/>
          </w:tcPr>
          <w:p>
            <w:pPr>
              <w:spacing w:after="0"/>
              <w:rPr>
                <w:sz w:val="19"/>
                <w:szCs w:val="19"/>
                <w:color w:val="auto"/>
              </w:rPr>
            </w:pPr>
          </w:p>
        </w:tc>
        <w:tc>
          <w:tcPr>
            <w:tcW w:w="5740" w:type="dxa"/>
            <w:vAlign w:val="bottom"/>
            <w:shd w:val="clear" w:color="auto" w:fill="CCEEFF"/>
          </w:tcPr>
          <w:p>
            <w:pPr>
              <w:ind w:left="240"/>
              <w:spacing w:after="0" w:line="215" w:lineRule="exact"/>
              <w:rPr>
                <w:sz w:val="20"/>
                <w:szCs w:val="20"/>
                <w:color w:val="auto"/>
              </w:rPr>
            </w:pPr>
            <w:r>
              <w:rPr>
                <w:rFonts w:ascii="Calibri" w:cs="Calibri" w:eastAsia="Calibri" w:hAnsi="Calibri"/>
                <w:sz w:val="18"/>
                <w:szCs w:val="18"/>
                <w:color w:val="auto"/>
              </w:rPr>
              <w:t>Plus: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2"/>
        </w:trPr>
        <w:tc>
          <w:tcPr>
            <w:tcW w:w="180" w:type="dxa"/>
            <w:vAlign w:val="bottom"/>
          </w:tcPr>
          <w:p>
            <w:pPr>
              <w:spacing w:after="0"/>
              <w:rPr>
                <w:sz w:val="19"/>
                <w:szCs w:val="19"/>
                <w:color w:val="auto"/>
              </w:rPr>
            </w:pPr>
          </w:p>
        </w:tc>
        <w:tc>
          <w:tcPr>
            <w:tcW w:w="5740" w:type="dxa"/>
            <w:vAlign w:val="bottom"/>
          </w:tcPr>
          <w:p>
            <w:pPr>
              <w:ind w:left="340"/>
              <w:spacing w:after="0" w:line="215" w:lineRule="exact"/>
              <w:rPr>
                <w:sz w:val="20"/>
                <w:szCs w:val="20"/>
                <w:color w:val="auto"/>
              </w:rPr>
            </w:pPr>
            <w:r>
              <w:rPr>
                <w:rFonts w:ascii="Calibri" w:cs="Calibri" w:eastAsia="Calibri" w:hAnsi="Calibri"/>
                <w:sz w:val="18"/>
                <w:szCs w:val="18"/>
                <w:color w:val="auto"/>
              </w:rPr>
              <w:t>Goodwill impairment</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21,215</w:t>
            </w:r>
          </w:p>
        </w:tc>
      </w:tr>
      <w:tr>
        <w:trPr>
          <w:trHeight w:val="237"/>
        </w:trPr>
        <w:tc>
          <w:tcPr>
            <w:tcW w:w="180" w:type="dxa"/>
            <w:vAlign w:val="bottom"/>
          </w:tcPr>
          <w:p>
            <w:pPr>
              <w:spacing w:after="0"/>
              <w:rPr>
                <w:sz w:val="20"/>
                <w:szCs w:val="20"/>
                <w:color w:val="auto"/>
              </w:rPr>
            </w:pPr>
          </w:p>
        </w:tc>
        <w:tc>
          <w:tcPr>
            <w:tcW w:w="5740" w:type="dxa"/>
            <w:vAlign w:val="bottom"/>
            <w:shd w:val="clear" w:color="auto" w:fill="CCEEFF"/>
          </w:tcPr>
          <w:p>
            <w:pPr>
              <w:ind w:left="340"/>
              <w:spacing w:after="0" w:line="237" w:lineRule="exact"/>
              <w:rPr>
                <w:sz w:val="20"/>
                <w:szCs w:val="20"/>
                <w:color w:val="auto"/>
              </w:rPr>
            </w:pPr>
            <w:r>
              <w:rPr>
                <w:rFonts w:ascii="Calibri" w:cs="Calibri" w:eastAsia="Calibri" w:hAnsi="Calibri"/>
                <w:sz w:val="18"/>
                <w:szCs w:val="18"/>
                <w:color w:val="auto"/>
              </w:rPr>
              <w:t>Income tax efect of adjustment above</w:t>
            </w:r>
            <w:r>
              <w:rPr>
                <w:rFonts w:ascii="Calibri" w:cs="Calibri" w:eastAsia="Calibri" w:hAnsi="Calibri"/>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6,196</w:t>
            </w:r>
          </w:p>
        </w:tc>
      </w:tr>
      <w:tr>
        <w:trPr>
          <w:trHeight w:val="222"/>
        </w:trPr>
        <w:tc>
          <w:tcPr>
            <w:tcW w:w="180" w:type="dxa"/>
            <w:vAlign w:val="bottom"/>
          </w:tcPr>
          <w:p>
            <w:pPr>
              <w:spacing w:after="0"/>
              <w:rPr>
                <w:sz w:val="19"/>
                <w:szCs w:val="19"/>
                <w:color w:val="auto"/>
              </w:rPr>
            </w:pPr>
          </w:p>
        </w:tc>
        <w:tc>
          <w:tcPr>
            <w:tcW w:w="5740" w:type="dxa"/>
            <w:vAlign w:val="bottom"/>
          </w:tcPr>
          <w:p>
            <w:pPr>
              <w:ind w:left="340"/>
              <w:spacing w:after="0" w:line="215" w:lineRule="exact"/>
              <w:rPr>
                <w:sz w:val="20"/>
                <w:szCs w:val="20"/>
                <w:color w:val="auto"/>
              </w:rPr>
            </w:pPr>
            <w:r>
              <w:rPr>
                <w:rFonts w:ascii="Calibri" w:cs="Calibri" w:eastAsia="Calibri" w:hAnsi="Calibri"/>
                <w:sz w:val="18"/>
                <w:szCs w:val="18"/>
                <w:color w:val="auto"/>
              </w:rPr>
              <w:t>Nonrecurring stand-up costs associated with integratng MountainWest</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2,565</w:t>
            </w:r>
          </w:p>
        </w:tc>
      </w:tr>
      <w:tr>
        <w:trPr>
          <w:trHeight w:val="237"/>
        </w:trPr>
        <w:tc>
          <w:tcPr>
            <w:tcW w:w="180" w:type="dxa"/>
            <w:vAlign w:val="bottom"/>
          </w:tcPr>
          <w:p>
            <w:pPr>
              <w:spacing w:after="0"/>
              <w:rPr>
                <w:sz w:val="20"/>
                <w:szCs w:val="20"/>
                <w:color w:val="auto"/>
              </w:rPr>
            </w:pPr>
          </w:p>
        </w:tc>
        <w:tc>
          <w:tcPr>
            <w:tcW w:w="5740" w:type="dxa"/>
            <w:vAlign w:val="bottom"/>
            <w:shd w:val="clear" w:color="auto" w:fill="CCEEFF"/>
          </w:tcPr>
          <w:p>
            <w:pPr>
              <w:ind w:left="340"/>
              <w:spacing w:after="0" w:line="237" w:lineRule="exact"/>
              <w:rPr>
                <w:sz w:val="20"/>
                <w:szCs w:val="20"/>
                <w:color w:val="auto"/>
              </w:rPr>
            </w:pPr>
            <w:r>
              <w:rPr>
                <w:rFonts w:ascii="Calibri" w:cs="Calibri" w:eastAsia="Calibri" w:hAnsi="Calibri"/>
                <w:sz w:val="18"/>
                <w:szCs w:val="18"/>
                <w:color w:val="auto"/>
              </w:rPr>
              <w:t>Income tax efect of adjustment above</w:t>
            </w:r>
            <w:r>
              <w:rPr>
                <w:rFonts w:ascii="Calibri" w:cs="Calibri" w:eastAsia="Calibri" w:hAnsi="Calibri"/>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(616)</w:t>
            </w:r>
          </w:p>
        </w:tc>
      </w:tr>
      <w:tr>
        <w:trPr>
          <w:trHeight w:val="223"/>
        </w:trPr>
        <w:tc>
          <w:tcPr>
            <w:tcW w:w="180" w:type="dxa"/>
            <w:vAlign w:val="bottom"/>
          </w:tcPr>
          <w:p>
            <w:pPr>
              <w:spacing w:after="0"/>
              <w:rPr>
                <w:sz w:val="19"/>
                <w:szCs w:val="19"/>
                <w:color w:val="auto"/>
              </w:rPr>
            </w:pPr>
          </w:p>
        </w:tc>
        <w:tc>
          <w:tcPr>
            <w:tcW w:w="5740" w:type="dxa"/>
            <w:vAlign w:val="bottom"/>
          </w:tcPr>
          <w:p>
            <w:pPr>
              <w:ind w:left="120"/>
              <w:spacing w:after="0"/>
              <w:rPr>
                <w:sz w:val="20"/>
                <w:szCs w:val="20"/>
                <w:color w:val="auto"/>
              </w:rPr>
            </w:pPr>
            <w:r>
              <w:rPr>
                <w:rFonts w:ascii="Calibri" w:cs="Calibri" w:eastAsia="Calibri" w:hAnsi="Calibri"/>
                <w:sz w:val="18"/>
                <w:szCs w:val="18"/>
                <w:color w:val="auto"/>
              </w:rPr>
              <w:t>Adjusted net income applicable to Pipeline and Storage</w:t>
            </w:r>
          </w:p>
        </w:tc>
        <w:tc>
          <w:tcPr>
            <w:tcW w:w="10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13,072</w:t>
            </w:r>
          </w:p>
        </w:tc>
      </w:tr>
      <w:tr>
        <w:trPr>
          <w:trHeight w:val="20"/>
        </w:trPr>
        <w:tc>
          <w:tcPr>
            <w:tcW w:w="180" w:type="dxa"/>
            <w:vAlign w:val="bottom"/>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5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bl>
    <w:p>
      <w:pPr>
        <w:sectPr>
          <w:pgSz w:w="11900" w:h="16838" w:orient="portrait"/>
          <w:cols w:equalWidth="0" w:num="1">
            <w:col w:w="11240"/>
          </w:cols>
          <w:pgMar w:left="320" w:top="1319"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ind w:left="20"/>
              <w:spacing w:after="0"/>
              <w:rPr>
                <w:sz w:val="20"/>
                <w:szCs w:val="20"/>
                <w:color w:val="auto"/>
              </w:rPr>
            </w:pPr>
            <w:r>
              <w:rPr>
                <w:rFonts w:ascii="Calibri" w:cs="Calibri" w:eastAsia="Calibri" w:hAnsi="Calibri"/>
                <w:sz w:val="18"/>
                <w:szCs w:val="18"/>
                <w:color w:val="auto"/>
              </w:rPr>
              <w:t>Three Months Ended December</w:t>
            </w:r>
          </w:p>
        </w:tc>
        <w:tc>
          <w:tcPr>
            <w:tcW w:w="2520" w:type="dxa"/>
            <w:vAlign w:val="bottom"/>
            <w:gridSpan w:val="5"/>
          </w:tcPr>
          <w:p>
            <w:pPr>
              <w:jc w:val="right"/>
              <w:spacing w:after="0"/>
              <w:rPr>
                <w:sz w:val="20"/>
                <w:szCs w:val="20"/>
                <w:color w:val="auto"/>
              </w:rPr>
            </w:pPr>
            <w:r>
              <w:rPr>
                <w:rFonts w:ascii="Calibri" w:cs="Calibri" w:eastAsia="Calibri" w:hAnsi="Calibri"/>
                <w:sz w:val="18"/>
                <w:szCs w:val="18"/>
                <w:color w:val="auto"/>
                <w:w w:val="99"/>
              </w:rPr>
              <w:t>Twelve Months Ended December</w:t>
            </w:r>
          </w:p>
        </w:tc>
      </w:tr>
      <w:tr>
        <w:trPr>
          <w:trHeight w:val="215"/>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130"/>
              <w:spacing w:after="0" w:line="215" w:lineRule="exact"/>
              <w:rPr>
                <w:sz w:val="20"/>
                <w:szCs w:val="20"/>
                <w:color w:val="auto"/>
              </w:rPr>
            </w:pPr>
            <w:r>
              <w:rPr>
                <w:rFonts w:ascii="Calibri" w:cs="Calibri" w:eastAsia="Calibri" w:hAnsi="Calibri"/>
                <w:sz w:val="18"/>
                <w:szCs w:val="18"/>
                <w:color w:val="auto"/>
              </w:rPr>
              <w:t>31,</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130"/>
              <w:spacing w:after="0" w:line="215" w:lineRule="exact"/>
              <w:rPr>
                <w:sz w:val="20"/>
                <w:szCs w:val="20"/>
                <w:color w:val="auto"/>
              </w:rPr>
            </w:pPr>
            <w:r>
              <w:rPr>
                <w:rFonts w:ascii="Calibri" w:cs="Calibri" w:eastAsia="Calibri" w:hAnsi="Calibri"/>
                <w:sz w:val="18"/>
                <w:szCs w:val="18"/>
                <w:color w:val="auto"/>
              </w:rPr>
              <w:t>31,</w:t>
            </w:r>
          </w:p>
        </w:tc>
        <w:tc>
          <w:tcPr>
            <w:tcW w:w="940" w:type="dxa"/>
            <w:vAlign w:val="bottom"/>
          </w:tcPr>
          <w:p>
            <w:pPr>
              <w:spacing w:after="0"/>
              <w:rPr>
                <w:sz w:val="18"/>
                <w:szCs w:val="18"/>
                <w:color w:val="auto"/>
              </w:rPr>
            </w:pPr>
          </w:p>
        </w:tc>
      </w:tr>
      <w:tr>
        <w:trPr>
          <w:trHeight w:val="37"/>
        </w:trPr>
        <w:tc>
          <w:tcPr>
            <w:tcW w:w="57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3"/>
        </w:trPr>
        <w:tc>
          <w:tcPr>
            <w:tcW w:w="57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30"/>
              <w:spacing w:after="0" w:line="215" w:lineRule="exact"/>
              <w:rPr>
                <w:sz w:val="20"/>
                <w:szCs w:val="20"/>
                <w:color w:val="auto"/>
              </w:rPr>
            </w:pPr>
            <w:r>
              <w:rPr>
                <w:rFonts w:ascii="Calibri" w:cs="Calibri" w:eastAsia="Calibri" w:hAnsi="Calibri"/>
                <w:sz w:val="18"/>
                <w:szCs w:val="18"/>
                <w:color w:val="auto"/>
              </w:rPr>
              <w:t>2024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30"/>
              <w:spacing w:after="0" w:line="215" w:lineRule="exact"/>
              <w:rPr>
                <w:sz w:val="20"/>
                <w:szCs w:val="20"/>
                <w:color w:val="auto"/>
              </w:rPr>
            </w:pPr>
            <w:r>
              <w:rPr>
                <w:rFonts w:ascii="Calibri" w:cs="Calibri" w:eastAsia="Calibri" w:hAnsi="Calibri"/>
                <w:sz w:val="18"/>
                <w:szCs w:val="18"/>
                <w:color w:val="auto"/>
              </w:rPr>
              <w:t>2023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30"/>
              <w:spacing w:after="0" w:line="215" w:lineRule="exact"/>
              <w:rPr>
                <w:sz w:val="20"/>
                <w:szCs w:val="20"/>
                <w:color w:val="auto"/>
              </w:rPr>
            </w:pPr>
            <w:r>
              <w:rPr>
                <w:rFonts w:ascii="Calibri" w:cs="Calibri" w:eastAsia="Calibri" w:hAnsi="Calibri"/>
                <w:sz w:val="18"/>
                <w:szCs w:val="18"/>
                <w:color w:val="auto"/>
              </w:rPr>
              <w:t>2024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30"/>
              <w:spacing w:after="0" w:line="215" w:lineRule="exact"/>
              <w:rPr>
                <w:sz w:val="20"/>
                <w:szCs w:val="20"/>
                <w:color w:val="auto"/>
              </w:rPr>
            </w:pPr>
            <w:r>
              <w:rPr>
                <w:rFonts w:ascii="Calibri" w:cs="Calibri" w:eastAsia="Calibri" w:hAnsi="Calibri"/>
                <w:sz w:val="18"/>
                <w:szCs w:val="18"/>
                <w:color w:val="auto"/>
              </w:rPr>
              <w:t>2023</w:t>
            </w:r>
          </w:p>
        </w:tc>
      </w:tr>
      <w:tr>
        <w:trPr>
          <w:trHeight w:val="216"/>
        </w:trPr>
        <w:tc>
          <w:tcPr>
            <w:tcW w:w="5740" w:type="dxa"/>
            <w:vAlign w:val="bottom"/>
          </w:tcPr>
          <w:p>
            <w:pPr>
              <w:ind w:left="120"/>
              <w:spacing w:after="0" w:line="199" w:lineRule="exact"/>
              <w:rPr>
                <w:sz w:val="20"/>
                <w:szCs w:val="20"/>
                <w:color w:val="auto"/>
              </w:rPr>
            </w:pPr>
            <w:r>
              <w:rPr>
                <w:rFonts w:ascii="Calibri" w:cs="Calibri" w:eastAsia="Calibri" w:hAnsi="Calibri"/>
                <w:sz w:val="18"/>
                <w:szCs w:val="18"/>
                <w:color w:val="auto"/>
              </w:rPr>
              <w:t>Net loss - Corporate and administratve (GAAP)</w:t>
            </w:r>
          </w:p>
        </w:tc>
        <w:tc>
          <w:tcPr>
            <w:tcW w:w="10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(12,863)</w:t>
            </w:r>
          </w:p>
        </w:tc>
        <w:tc>
          <w:tcPr>
            <w:tcW w:w="140" w:type="dxa"/>
            <w:vAlign w:val="bottom"/>
          </w:tcPr>
          <w:p>
            <w:pPr>
              <w:spacing w:after="0"/>
              <w:rPr>
                <w:sz w:val="18"/>
                <w:szCs w:val="18"/>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(13,542)</w:t>
            </w:r>
          </w:p>
        </w:tc>
        <w:tc>
          <w:tcPr>
            <w:tcW w:w="120" w:type="dxa"/>
            <w:vAlign w:val="bottom"/>
          </w:tcPr>
          <w:p>
            <w:pPr>
              <w:spacing w:after="0"/>
              <w:rPr>
                <w:sz w:val="18"/>
                <w:szCs w:val="18"/>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(49,275)</w:t>
            </w:r>
          </w:p>
        </w:tc>
        <w:tc>
          <w:tcPr>
            <w:tcW w:w="120" w:type="dxa"/>
            <w:vAlign w:val="bottom"/>
          </w:tcPr>
          <w:p>
            <w:pPr>
              <w:spacing w:after="0"/>
              <w:rPr>
                <w:sz w:val="18"/>
                <w:szCs w:val="18"/>
                <w:color w:val="auto"/>
              </w:rPr>
            </w:pP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(94,701)</w:t>
            </w:r>
          </w:p>
        </w:tc>
      </w:tr>
      <w:tr>
        <w:trPr>
          <w:trHeight w:val="237"/>
        </w:trPr>
        <w:tc>
          <w:tcPr>
            <w:tcW w:w="574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Plus:</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2"/>
        </w:trPr>
        <w:tc>
          <w:tcPr>
            <w:tcW w:w="5740" w:type="dxa"/>
            <w:vAlign w:val="bottom"/>
          </w:tcPr>
          <w:p>
            <w:pPr>
              <w:ind w:left="340"/>
              <w:spacing w:after="0" w:line="215" w:lineRule="exact"/>
              <w:rPr>
                <w:sz w:val="20"/>
                <w:szCs w:val="20"/>
                <w:color w:val="auto"/>
              </w:rPr>
            </w:pPr>
            <w:r>
              <w:rPr>
                <w:rFonts w:ascii="Calibri" w:cs="Calibri" w:eastAsia="Calibri" w:hAnsi="Calibri"/>
                <w:sz w:val="18"/>
                <w:szCs w:val="18"/>
                <w:color w:val="auto"/>
              </w:rPr>
              <w:t>Goodwill impairment and loss on sale and sale-related expenses</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52,064</w:t>
            </w:r>
          </w:p>
        </w:tc>
      </w:tr>
      <w:tr>
        <w:trPr>
          <w:trHeight w:val="237"/>
        </w:trPr>
        <w:tc>
          <w:tcPr>
            <w:tcW w:w="5740" w:type="dxa"/>
            <w:vAlign w:val="bottom"/>
            <w:shd w:val="clear" w:color="auto" w:fill="CCEEFF"/>
          </w:tcPr>
          <w:p>
            <w:pPr>
              <w:ind w:left="340"/>
              <w:spacing w:after="0" w:line="237" w:lineRule="exact"/>
              <w:rPr>
                <w:sz w:val="20"/>
                <w:szCs w:val="20"/>
                <w:color w:val="auto"/>
              </w:rPr>
            </w:pPr>
            <w:r>
              <w:rPr>
                <w:rFonts w:ascii="Calibri" w:cs="Calibri" w:eastAsia="Calibri" w:hAnsi="Calibri"/>
                <w:sz w:val="18"/>
                <w:szCs w:val="18"/>
                <w:color w:val="auto"/>
              </w:rPr>
              <w:t>Income tax efect of adjustment above</w:t>
            </w:r>
            <w:r>
              <w:rPr>
                <w:rFonts w:ascii="Calibri" w:cs="Calibri" w:eastAsia="Calibri" w:hAnsi="Calibri"/>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(12,496)</w:t>
            </w:r>
          </w:p>
        </w:tc>
      </w:tr>
      <w:tr>
        <w:trPr>
          <w:trHeight w:val="222"/>
        </w:trPr>
        <w:tc>
          <w:tcPr>
            <w:tcW w:w="5740" w:type="dxa"/>
            <w:vAlign w:val="bottom"/>
          </w:tcPr>
          <w:p>
            <w:pPr>
              <w:ind w:left="340"/>
              <w:spacing w:after="0" w:line="215" w:lineRule="exact"/>
              <w:rPr>
                <w:sz w:val="20"/>
                <w:szCs w:val="20"/>
                <w:color w:val="auto"/>
              </w:rPr>
            </w:pPr>
            <w:r>
              <w:rPr>
                <w:rFonts w:ascii="Calibri" w:cs="Calibri" w:eastAsia="Calibri" w:hAnsi="Calibri"/>
                <w:sz w:val="18"/>
                <w:szCs w:val="18"/>
                <w:color w:val="auto"/>
              </w:rPr>
              <w:t>MountainWest stand-up, integraton, and transacton-related costs</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291</w:t>
            </w:r>
          </w:p>
        </w:tc>
      </w:tr>
      <w:tr>
        <w:trPr>
          <w:trHeight w:val="237"/>
        </w:trPr>
        <w:tc>
          <w:tcPr>
            <w:tcW w:w="5740" w:type="dxa"/>
            <w:vAlign w:val="bottom"/>
            <w:shd w:val="clear" w:color="auto" w:fill="CCEEFF"/>
          </w:tcPr>
          <w:p>
            <w:pPr>
              <w:ind w:left="340"/>
              <w:spacing w:after="0" w:line="237" w:lineRule="exact"/>
              <w:rPr>
                <w:sz w:val="20"/>
                <w:szCs w:val="20"/>
                <w:color w:val="auto"/>
              </w:rPr>
            </w:pPr>
            <w:r>
              <w:rPr>
                <w:rFonts w:ascii="Calibri" w:cs="Calibri" w:eastAsia="Calibri" w:hAnsi="Calibri"/>
                <w:sz w:val="18"/>
                <w:szCs w:val="18"/>
                <w:color w:val="auto"/>
              </w:rPr>
              <w:t>Income tax efect of adjustment above</w:t>
            </w:r>
            <w:r>
              <w:rPr>
                <w:rFonts w:ascii="Calibri" w:cs="Calibri" w:eastAsia="Calibri" w:hAnsi="Calibri"/>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(70)</w:t>
            </w:r>
          </w:p>
        </w:tc>
      </w:tr>
      <w:tr>
        <w:trPr>
          <w:trHeight w:val="167"/>
        </w:trPr>
        <w:tc>
          <w:tcPr>
            <w:tcW w:w="5740" w:type="dxa"/>
            <w:vAlign w:val="bottom"/>
          </w:tcPr>
          <w:p>
            <w:pPr>
              <w:ind w:left="340"/>
              <w:spacing w:after="0" w:line="166" w:lineRule="exact"/>
              <w:rPr>
                <w:sz w:val="20"/>
                <w:szCs w:val="20"/>
                <w:color w:val="auto"/>
              </w:rPr>
            </w:pPr>
            <w:r>
              <w:rPr>
                <w:rFonts w:ascii="Calibri" w:cs="Calibri" w:eastAsia="Calibri" w:hAnsi="Calibri"/>
                <w:sz w:val="18"/>
                <w:szCs w:val="18"/>
                <w:color w:val="auto"/>
              </w:rPr>
              <w:t>Consultng fees related to optmizaton opportunity identfcaton,</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8"/>
        </w:trPr>
        <w:tc>
          <w:tcPr>
            <w:tcW w:w="5740" w:type="dxa"/>
            <w:vAlign w:val="bottom"/>
          </w:tcPr>
          <w:p>
            <w:pPr>
              <w:ind w:left="340"/>
              <w:spacing w:after="0" w:line="215" w:lineRule="exact"/>
              <w:rPr>
                <w:sz w:val="20"/>
                <w:szCs w:val="20"/>
                <w:color w:val="auto"/>
              </w:rPr>
            </w:pPr>
            <w:r>
              <w:rPr>
                <w:rFonts w:ascii="Calibri" w:cs="Calibri" w:eastAsia="Calibri" w:hAnsi="Calibri"/>
                <w:sz w:val="18"/>
                <w:szCs w:val="18"/>
                <w:color w:val="auto"/>
              </w:rPr>
              <w:t>benchmarking, and assessment</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833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1,470</w:t>
            </w:r>
          </w:p>
        </w:tc>
      </w:tr>
      <w:tr>
        <w:trPr>
          <w:trHeight w:val="23"/>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5740" w:type="dxa"/>
            <w:vAlign w:val="bottom"/>
            <w:shd w:val="clear" w:color="auto" w:fill="CCEEFF"/>
          </w:tcPr>
          <w:p>
            <w:pPr>
              <w:ind w:left="340"/>
              <w:spacing w:after="0" w:line="230" w:lineRule="exact"/>
              <w:rPr>
                <w:sz w:val="20"/>
                <w:szCs w:val="20"/>
                <w:color w:val="auto"/>
              </w:rPr>
            </w:pPr>
            <w:r>
              <w:rPr>
                <w:rFonts w:ascii="Calibri" w:cs="Calibri" w:eastAsia="Calibri" w:hAnsi="Calibri"/>
                <w:sz w:val="18"/>
                <w:szCs w:val="18"/>
                <w:color w:val="auto"/>
              </w:rPr>
              <w:t>Income tax efect of adjustment above</w:t>
            </w:r>
            <w:r>
              <w:rPr>
                <w:rFonts w:ascii="Calibri" w:cs="Calibri" w:eastAsia="Calibri" w:hAnsi="Calibri"/>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(353)</w:t>
            </w:r>
          </w:p>
        </w:tc>
      </w:tr>
      <w:tr>
        <w:trPr>
          <w:trHeight w:val="222"/>
        </w:trPr>
        <w:tc>
          <w:tcPr>
            <w:tcW w:w="5740" w:type="dxa"/>
            <w:vAlign w:val="bottom"/>
          </w:tcPr>
          <w:p>
            <w:pPr>
              <w:ind w:left="340"/>
              <w:spacing w:after="0" w:line="215" w:lineRule="exact"/>
              <w:rPr>
                <w:sz w:val="20"/>
                <w:szCs w:val="20"/>
                <w:color w:val="auto"/>
              </w:rPr>
            </w:pPr>
            <w:r>
              <w:rPr>
                <w:rFonts w:ascii="Calibri" w:cs="Calibri" w:eastAsia="Calibri" w:hAnsi="Calibri"/>
                <w:sz w:val="18"/>
                <w:szCs w:val="18"/>
                <w:color w:val="auto"/>
              </w:rPr>
              <w:t>Centuri separaton costs</w:t>
            </w:r>
          </w:p>
        </w:tc>
        <w:tc>
          <w:tcPr>
            <w:tcW w:w="10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3,256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3,822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8,188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11,073</w:t>
            </w:r>
          </w:p>
        </w:tc>
      </w:tr>
      <w:tr>
        <w:trPr>
          <w:trHeight w:val="237"/>
        </w:trPr>
        <w:tc>
          <w:tcPr>
            <w:tcW w:w="5740" w:type="dxa"/>
            <w:vAlign w:val="bottom"/>
            <w:shd w:val="clear" w:color="auto" w:fill="CCEEFF"/>
          </w:tcPr>
          <w:p>
            <w:pPr>
              <w:ind w:left="340"/>
              <w:spacing w:after="0" w:line="237" w:lineRule="exact"/>
              <w:rPr>
                <w:sz w:val="20"/>
                <w:szCs w:val="20"/>
                <w:color w:val="auto"/>
              </w:rPr>
            </w:pPr>
            <w:r>
              <w:rPr>
                <w:rFonts w:ascii="Calibri" w:cs="Calibri" w:eastAsia="Calibri" w:hAnsi="Calibri"/>
                <w:sz w:val="18"/>
                <w:szCs w:val="18"/>
                <w:color w:val="auto"/>
              </w:rPr>
              <w:t>Income tax efect of adjustment above</w:t>
            </w:r>
            <w:r>
              <w:rPr>
                <w:rFonts w:ascii="Calibri" w:cs="Calibri" w:eastAsia="Calibri" w:hAnsi="Calibri"/>
                <w:sz w:val="23"/>
                <w:szCs w:val="23"/>
                <w:color w:val="auto"/>
                <w:vertAlign w:val="superscript"/>
              </w:rPr>
              <w:t>(1)</w:t>
            </w: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(781)</w:t>
            </w: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(917)</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(1,964)</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(2,658)</w:t>
            </w:r>
          </w:p>
        </w:tc>
      </w:tr>
      <w:tr>
        <w:trPr>
          <w:trHeight w:val="223"/>
        </w:trPr>
        <w:tc>
          <w:tcPr>
            <w:tcW w:w="5740" w:type="dxa"/>
            <w:vAlign w:val="bottom"/>
          </w:tcPr>
          <w:p>
            <w:pPr>
              <w:ind w:left="120"/>
              <w:spacing w:after="0"/>
              <w:rPr>
                <w:sz w:val="20"/>
                <w:szCs w:val="20"/>
                <w:color w:val="auto"/>
              </w:rPr>
            </w:pPr>
            <w:r>
              <w:rPr>
                <w:rFonts w:ascii="Calibri" w:cs="Calibri" w:eastAsia="Calibri" w:hAnsi="Calibri"/>
                <w:sz w:val="18"/>
                <w:szCs w:val="18"/>
                <w:color w:val="auto"/>
              </w:rPr>
              <w:t>Adjusted net loss applicable to Corporate and administratve</w:t>
            </w:r>
          </w:p>
        </w:tc>
        <w:tc>
          <w:tcPr>
            <w:tcW w:w="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(10,388)</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(9,996)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(43,051)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(45,380)</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5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2"/>
        </w:trPr>
        <w:tc>
          <w:tcPr>
            <w:tcW w:w="574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 applicable to Southwest Gas Holdings (GAAP)</w:t>
            </w:r>
          </w:p>
        </w:tc>
        <w:tc>
          <w:tcPr>
            <w:tcW w:w="10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92,456</w:t>
            </w:r>
          </w:p>
        </w:tc>
        <w:tc>
          <w:tcPr>
            <w:tcW w:w="140" w:type="dxa"/>
            <w:vAlign w:val="bottom"/>
          </w:tcPr>
          <w:p>
            <w:pPr>
              <w:spacing w:after="0"/>
              <w:rPr>
                <w:sz w:val="19"/>
                <w:szCs w:val="19"/>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72,869</w:t>
            </w:r>
          </w:p>
        </w:tc>
        <w:tc>
          <w:tcPr>
            <w:tcW w:w="120" w:type="dxa"/>
            <w:vAlign w:val="bottom"/>
          </w:tcPr>
          <w:p>
            <w:pPr>
              <w:spacing w:after="0"/>
              <w:rPr>
                <w:sz w:val="19"/>
                <w:szCs w:val="19"/>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198,815</w:t>
            </w:r>
          </w:p>
        </w:tc>
        <w:tc>
          <w:tcPr>
            <w:tcW w:w="120" w:type="dxa"/>
            <w:vAlign w:val="bottom"/>
          </w:tcPr>
          <w:p>
            <w:pPr>
              <w:spacing w:after="0"/>
              <w:rPr>
                <w:sz w:val="19"/>
                <w:szCs w:val="19"/>
                <w:color w:val="auto"/>
              </w:rPr>
            </w:pP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150,889</w:t>
            </w:r>
          </w:p>
        </w:tc>
      </w:tr>
      <w:tr>
        <w:trPr>
          <w:trHeight w:val="237"/>
        </w:trPr>
        <w:tc>
          <w:tcPr>
            <w:tcW w:w="574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Plus:</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2"/>
        </w:trPr>
        <w:tc>
          <w:tcPr>
            <w:tcW w:w="5740" w:type="dxa"/>
            <w:vAlign w:val="bottom"/>
          </w:tcPr>
          <w:p>
            <w:pPr>
              <w:ind w:left="340"/>
              <w:spacing w:after="0" w:line="215" w:lineRule="exact"/>
              <w:rPr>
                <w:sz w:val="20"/>
                <w:szCs w:val="20"/>
                <w:color w:val="auto"/>
              </w:rPr>
            </w:pPr>
            <w:r>
              <w:rPr>
                <w:rFonts w:ascii="Calibri" w:cs="Calibri" w:eastAsia="Calibri" w:hAnsi="Calibri"/>
                <w:sz w:val="18"/>
                <w:szCs w:val="18"/>
                <w:color w:val="auto"/>
              </w:rPr>
              <w:t>Goodwill impairment and loss on sale and sale-related expenses</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73,279</w:t>
            </w:r>
          </w:p>
        </w:tc>
      </w:tr>
      <w:tr>
        <w:trPr>
          <w:trHeight w:val="237"/>
        </w:trPr>
        <w:tc>
          <w:tcPr>
            <w:tcW w:w="57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Accounts receivable securitzaton fees and Debt extnguishment loss</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2,525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r>
      <w:tr>
        <w:trPr>
          <w:trHeight w:val="222"/>
        </w:trPr>
        <w:tc>
          <w:tcPr>
            <w:tcW w:w="5740" w:type="dxa"/>
            <w:vAlign w:val="bottom"/>
          </w:tcPr>
          <w:p>
            <w:pPr>
              <w:ind w:left="340"/>
              <w:spacing w:after="0" w:line="215" w:lineRule="exact"/>
              <w:rPr>
                <w:sz w:val="20"/>
                <w:szCs w:val="20"/>
                <w:color w:val="auto"/>
              </w:rPr>
            </w:pPr>
            <w:r>
              <w:rPr>
                <w:rFonts w:ascii="Calibri" w:cs="Calibri" w:eastAsia="Calibri" w:hAnsi="Calibri"/>
                <w:sz w:val="18"/>
                <w:szCs w:val="18"/>
                <w:color w:val="auto"/>
              </w:rPr>
              <w:t>MountainWest stand-up, integraton, and transacton-related costs</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2,856</w:t>
            </w:r>
          </w:p>
        </w:tc>
      </w:tr>
      <w:tr>
        <w:trPr>
          <w:trHeight w:val="174"/>
        </w:trPr>
        <w:tc>
          <w:tcPr>
            <w:tcW w:w="5740" w:type="dxa"/>
            <w:vAlign w:val="bottom"/>
            <w:shd w:val="clear" w:color="auto" w:fill="CCEEFF"/>
          </w:tcPr>
          <w:p>
            <w:pPr>
              <w:ind w:left="340"/>
              <w:spacing w:after="0" w:line="174" w:lineRule="exact"/>
              <w:rPr>
                <w:sz w:val="20"/>
                <w:szCs w:val="20"/>
                <w:color w:val="auto"/>
              </w:rPr>
            </w:pPr>
            <w:r>
              <w:rPr>
                <w:rFonts w:ascii="Calibri" w:cs="Calibri" w:eastAsia="Calibri" w:hAnsi="Calibri"/>
                <w:sz w:val="18"/>
                <w:szCs w:val="18"/>
                <w:color w:val="auto"/>
              </w:rPr>
              <w:t>Consultng fees related to optmizaton opportunity identfcaton,</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32"/>
        </w:trPr>
        <w:tc>
          <w:tcPr>
            <w:tcW w:w="5740" w:type="dxa"/>
            <w:vAlign w:val="bottom"/>
            <w:tcBorders>
              <w:bottom w:val="single" w:sz="8" w:color="CCEEFF"/>
            </w:tcBorders>
            <w:shd w:val="clear" w:color="auto" w:fill="CCEEFF"/>
          </w:tcPr>
          <w:p>
            <w:pPr>
              <w:ind w:left="340"/>
              <w:spacing w:after="0" w:line="215" w:lineRule="exact"/>
              <w:rPr>
                <w:sz w:val="20"/>
                <w:szCs w:val="20"/>
                <w:color w:val="auto"/>
              </w:rPr>
            </w:pPr>
            <w:r>
              <w:rPr>
                <w:rFonts w:ascii="Calibri" w:cs="Calibri" w:eastAsia="Calibri" w:hAnsi="Calibri"/>
                <w:sz w:val="18"/>
                <w:szCs w:val="18"/>
                <w:color w:val="auto"/>
              </w:rPr>
              <w:t>benchmarking, and assessment</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5,550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9,796</w:t>
            </w:r>
          </w:p>
        </w:tc>
      </w:tr>
      <w:tr>
        <w:trPr>
          <w:trHeight w:val="222"/>
        </w:trPr>
        <w:tc>
          <w:tcPr>
            <w:tcW w:w="5740" w:type="dxa"/>
            <w:vAlign w:val="bottom"/>
          </w:tcPr>
          <w:p>
            <w:pPr>
              <w:ind w:left="340"/>
              <w:spacing w:after="0" w:line="215" w:lineRule="exact"/>
              <w:rPr>
                <w:sz w:val="20"/>
                <w:szCs w:val="20"/>
                <w:color w:val="auto"/>
              </w:rPr>
            </w:pPr>
            <w:r>
              <w:rPr>
                <w:rFonts w:ascii="Calibri" w:cs="Calibri" w:eastAsia="Calibri" w:hAnsi="Calibri"/>
                <w:sz w:val="18"/>
                <w:szCs w:val="18"/>
                <w:color w:val="auto"/>
              </w:rPr>
              <w:t>Strategic review and Centuri separaton</w:t>
            </w:r>
          </w:p>
        </w:tc>
        <w:tc>
          <w:tcPr>
            <w:tcW w:w="10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4,735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5,410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12,262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14,438</w:t>
            </w:r>
          </w:p>
        </w:tc>
      </w:tr>
      <w:tr>
        <w:trPr>
          <w:trHeight w:val="237"/>
        </w:trPr>
        <w:tc>
          <w:tcPr>
            <w:tcW w:w="5740" w:type="dxa"/>
            <w:vAlign w:val="bottom"/>
            <w:shd w:val="clear" w:color="auto" w:fill="CCEEFF"/>
          </w:tcPr>
          <w:p>
            <w:pPr>
              <w:ind w:left="340"/>
              <w:spacing w:after="0" w:line="237" w:lineRule="exact"/>
              <w:rPr>
                <w:sz w:val="20"/>
                <w:szCs w:val="20"/>
                <w:color w:val="auto"/>
              </w:rPr>
            </w:pPr>
            <w:r>
              <w:rPr>
                <w:rFonts w:ascii="Calibri" w:cs="Calibri" w:eastAsia="Calibri" w:hAnsi="Calibri"/>
                <w:sz w:val="18"/>
                <w:szCs w:val="18"/>
                <w:color w:val="auto"/>
              </w:rPr>
              <w:t>Amortzaton of intangible assets</w:t>
            </w:r>
            <w:r>
              <w:rPr>
                <w:rFonts w:ascii="Calibri" w:cs="Calibri" w:eastAsia="Calibri" w:hAnsi="Calibri"/>
                <w:sz w:val="23"/>
                <w:szCs w:val="23"/>
                <w:color w:val="auto"/>
                <w:vertAlign w:val="superscript"/>
              </w:rPr>
              <w:t>(2)</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5,385</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6,663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23,132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26,670</w:t>
            </w:r>
          </w:p>
        </w:tc>
      </w:tr>
      <w:tr>
        <w:trPr>
          <w:trHeight w:val="230"/>
        </w:trPr>
        <w:tc>
          <w:tcPr>
            <w:tcW w:w="5740" w:type="dxa"/>
            <w:vAlign w:val="bottom"/>
            <w:tcBorders>
              <w:bottom w:val="single" w:sz="8" w:color="CCEEFF"/>
            </w:tcBorders>
          </w:tcPr>
          <w:p>
            <w:pPr>
              <w:ind w:left="340"/>
              <w:spacing w:after="0" w:line="230" w:lineRule="exact"/>
              <w:rPr>
                <w:sz w:val="20"/>
                <w:szCs w:val="20"/>
                <w:color w:val="auto"/>
              </w:rPr>
            </w:pPr>
            <w:r>
              <w:rPr>
                <w:rFonts w:ascii="Calibri" w:cs="Calibri" w:eastAsia="Calibri" w:hAnsi="Calibri"/>
                <w:sz w:val="18"/>
                <w:szCs w:val="18"/>
                <w:color w:val="auto"/>
              </w:rPr>
              <w:t>Income tax efect of adjustment above</w:t>
            </w:r>
            <w:r>
              <w:rPr>
                <w:rFonts w:ascii="Calibri" w:cs="Calibri" w:eastAsia="Calibri" w:hAnsi="Calibri"/>
                <w:sz w:val="23"/>
                <w:szCs w:val="23"/>
                <w:color w:val="auto"/>
                <w:vertAlign w:val="superscript"/>
              </w:rPr>
              <w:t>(1)</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(2,465)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(4,284)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(8,800)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(19,380)</w:t>
            </w:r>
          </w:p>
        </w:tc>
      </w:tr>
      <w:tr>
        <w:trPr>
          <w:trHeight w:val="248"/>
        </w:trPr>
        <w:tc>
          <w:tcPr>
            <w:tcW w:w="5740" w:type="dxa"/>
            <w:vAlign w:val="bottom"/>
            <w:tcBorders>
              <w:bottom w:val="single" w:sz="8" w:color="CCEEFF"/>
            </w:tcBorders>
            <w:shd w:val="clear" w:color="auto" w:fill="CCEEFF"/>
          </w:tcPr>
          <w:p>
            <w:pPr>
              <w:ind w:left="120"/>
              <w:spacing w:after="0"/>
              <w:rPr>
                <w:sz w:val="20"/>
                <w:szCs w:val="20"/>
                <w:color w:val="auto"/>
              </w:rPr>
            </w:pPr>
            <w:r>
              <w:rPr>
                <w:rFonts w:ascii="Calibri" w:cs="Calibri" w:eastAsia="Calibri" w:hAnsi="Calibri"/>
                <w:sz w:val="18"/>
                <w:szCs w:val="18"/>
                <w:color w:val="auto"/>
              </w:rPr>
              <w:t>Adjusted net income applicable to Southwest Gas Holdings</w:t>
            </w:r>
          </w:p>
        </w:tc>
        <w:tc>
          <w:tcPr>
            <w:tcW w:w="1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100,111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86,219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227,934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258,548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57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Weighted average shares - diluted</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72,141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71,916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72,032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70,990</w:t>
            </w:r>
          </w:p>
        </w:tc>
      </w:tr>
      <w:tr>
        <w:trPr>
          <w:trHeight w:val="270"/>
        </w:trPr>
        <w:tc>
          <w:tcPr>
            <w:tcW w:w="5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0"/>
        </w:trPr>
        <w:tc>
          <w:tcPr>
            <w:tcW w:w="574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Earnings per share: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5"/>
        </w:trPr>
        <w:tc>
          <w:tcPr>
            <w:tcW w:w="5740" w:type="dxa"/>
            <w:vAlign w:val="bottom"/>
          </w:tcPr>
          <w:p>
            <w:pPr>
              <w:ind w:left="120"/>
              <w:spacing w:after="0" w:line="215" w:lineRule="exact"/>
              <w:rPr>
                <w:sz w:val="20"/>
                <w:szCs w:val="20"/>
                <w:color w:val="auto"/>
              </w:rPr>
            </w:pPr>
            <w:r>
              <w:rPr>
                <w:rFonts w:ascii="Calibri" w:cs="Calibri" w:eastAsia="Calibri" w:hAnsi="Calibri"/>
                <w:sz w:val="18"/>
                <w:szCs w:val="18"/>
                <w:color w:val="auto"/>
              </w:rPr>
              <w:t>Diluted earnings per share</w:t>
            </w:r>
          </w:p>
        </w:tc>
        <w:tc>
          <w:tcPr>
            <w:tcW w:w="10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1.28</w:t>
            </w:r>
          </w:p>
        </w:tc>
        <w:tc>
          <w:tcPr>
            <w:tcW w:w="140" w:type="dxa"/>
            <w:vAlign w:val="bottom"/>
          </w:tcPr>
          <w:p>
            <w:pPr>
              <w:spacing w:after="0"/>
              <w:rPr>
                <w:sz w:val="18"/>
                <w:szCs w:val="18"/>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1.01</w:t>
            </w:r>
          </w:p>
        </w:tc>
        <w:tc>
          <w:tcPr>
            <w:tcW w:w="120" w:type="dxa"/>
            <w:vAlign w:val="bottom"/>
          </w:tcPr>
          <w:p>
            <w:pPr>
              <w:spacing w:after="0"/>
              <w:rPr>
                <w:sz w:val="18"/>
                <w:szCs w:val="18"/>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2.76</w:t>
            </w:r>
          </w:p>
        </w:tc>
        <w:tc>
          <w:tcPr>
            <w:tcW w:w="120" w:type="dxa"/>
            <w:vAlign w:val="bottom"/>
          </w:tcPr>
          <w:p>
            <w:pPr>
              <w:spacing w:after="0"/>
              <w:rPr>
                <w:sz w:val="18"/>
                <w:szCs w:val="18"/>
                <w:color w:val="auto"/>
              </w:rPr>
            </w:pP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2.13</w:t>
            </w:r>
          </w:p>
        </w:tc>
      </w:tr>
      <w:tr>
        <w:trPr>
          <w:trHeight w:val="221"/>
        </w:trPr>
        <w:tc>
          <w:tcPr>
            <w:tcW w:w="5740" w:type="dxa"/>
            <w:vAlign w:val="bottom"/>
          </w:tcPr>
          <w:p>
            <w:pPr>
              <w:ind w:left="120"/>
              <w:spacing w:after="0"/>
              <w:rPr>
                <w:sz w:val="20"/>
                <w:szCs w:val="20"/>
                <w:color w:val="auto"/>
              </w:rPr>
            </w:pPr>
            <w:r>
              <w:rPr>
                <w:rFonts w:ascii="Calibri" w:cs="Calibri" w:eastAsia="Calibri" w:hAnsi="Calibri"/>
                <w:sz w:val="18"/>
                <w:szCs w:val="18"/>
                <w:color w:val="auto"/>
              </w:rPr>
              <w:t>Adjusted consolidated earnings per diluted share</w:t>
            </w:r>
          </w:p>
        </w:tc>
        <w:tc>
          <w:tcPr>
            <w:tcW w:w="100" w:type="dxa"/>
            <w:vAlign w:val="bottom"/>
          </w:tcPr>
          <w:p>
            <w:pPr>
              <w:jc w:val="right"/>
              <w:spacing w:after="0"/>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1.39</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1.20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3.16</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3.64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1769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17690" cy="145415"/>
                    </a:xfrm>
                    <a:prstGeom prst="rect">
                      <a:avLst/>
                    </a:prstGeom>
                    <a:noFill/>
                  </pic:spPr>
                </pic:pic>
              </a:graphicData>
            </a:graphic>
          </wp:anchor>
        </w:drawing>
      </w:r>
    </w:p>
    <w:p>
      <w:pPr>
        <w:jc w:val="both"/>
        <w:ind w:left="120" w:right="40" w:firstLine="3"/>
        <w:spacing w:after="0" w:line="189" w:lineRule="auto"/>
        <w:tabs>
          <w:tab w:leader="none" w:pos="267" w:val="left"/>
        </w:tabs>
        <w:numPr>
          <w:ilvl w:val="0"/>
          <w:numId w:val="17"/>
        </w:numPr>
        <w:rPr>
          <w:rFonts w:ascii="Calibri" w:cs="Calibri" w:eastAsia="Calibri" w:hAnsi="Calibri"/>
          <w:sz w:val="19"/>
          <w:szCs w:val="19"/>
          <w:color w:val="auto"/>
          <w:vertAlign w:val="superscript"/>
        </w:rPr>
      </w:pPr>
      <w:r>
        <w:rPr>
          <w:rFonts w:ascii="Calibri" w:cs="Calibri" w:eastAsia="Calibri" w:hAnsi="Calibri"/>
          <w:sz w:val="14"/>
          <w:szCs w:val="14"/>
          <w:color w:val="auto"/>
        </w:rPr>
        <w:t>Calculated using the Company’s blended statutory tax rate of 24%, except for items pertaining to the Utlity Infrastructure Services segment which was calculated using a blended statutory tax rate of ~25% and Goodwill impairment which was calculated using an efectve tax rate of ~23%. Certain Setlement agreement costs are non-deductble for tax purposes, in additon to a component of the impairment loss that was a permanent item without tax basis thereby lowering the 2023 tax beneft by $11.2 million.</w:t>
      </w:r>
    </w:p>
    <w:p>
      <w:pPr>
        <w:spacing w:after="0" w:line="1" w:lineRule="exact"/>
        <w:rPr>
          <w:rFonts w:ascii="Calibri" w:cs="Calibri" w:eastAsia="Calibri" w:hAnsi="Calibri"/>
          <w:sz w:val="19"/>
          <w:szCs w:val="19"/>
          <w:color w:val="auto"/>
          <w:vertAlign w:val="superscript"/>
        </w:rPr>
      </w:pPr>
    </w:p>
    <w:p>
      <w:pPr>
        <w:ind w:left="260" w:hanging="137"/>
        <w:spacing w:after="0" w:line="221" w:lineRule="auto"/>
        <w:tabs>
          <w:tab w:leader="none" w:pos="260" w:val="left"/>
        </w:tabs>
        <w:numPr>
          <w:ilvl w:val="0"/>
          <w:numId w:val="17"/>
        </w:numPr>
        <w:rPr>
          <w:rFonts w:ascii="Calibri" w:cs="Calibri" w:eastAsia="Calibri" w:hAnsi="Calibri"/>
          <w:sz w:val="18"/>
          <w:szCs w:val="18"/>
          <w:color w:val="auto"/>
          <w:vertAlign w:val="superscript"/>
        </w:rPr>
      </w:pPr>
      <w:r>
        <w:rPr>
          <w:rFonts w:ascii="Calibri" w:cs="Calibri" w:eastAsia="Calibri" w:hAnsi="Calibri"/>
          <w:sz w:val="14"/>
          <w:szCs w:val="14"/>
          <w:color w:val="auto"/>
        </w:rPr>
        <w:t>The informaton for 2023 refects actvity related to the period from January 1, 2023 to February 13, 2023 (the last full day of ownership).</w:t>
      </w:r>
    </w:p>
    <w:p>
      <w:pPr>
        <w:sectPr>
          <w:pgSz w:w="11900" w:h="16838" w:orient="portrait"/>
          <w:cols w:equalWidth="0" w:num="1">
            <w:col w:w="10900"/>
          </w:cols>
          <w:pgMar w:left="500" w:top="1315" w:right="499" w:bottom="1440" w:gutter="0" w:footer="0" w:header="0"/>
        </w:sectPr>
      </w:pPr>
    </w:p>
    <w:bookmarkStart w:id="16" w:name="page17"/>
    <w:bookmarkEnd w:id="16"/>
    <w:p>
      <w:pPr>
        <w:jc w:val="center"/>
        <w:spacing w:after="0"/>
        <w:rPr>
          <w:sz w:val="20"/>
          <w:szCs w:val="20"/>
          <w:color w:val="auto"/>
        </w:rPr>
      </w:pPr>
      <w:r>
        <w:rPr>
          <w:rFonts w:ascii="Calibri" w:cs="Calibri" w:eastAsia="Calibri" w:hAnsi="Calibri"/>
          <w:sz w:val="18"/>
          <w:szCs w:val="18"/>
          <w:b w:val="1"/>
          <w:bCs w:val="1"/>
          <w:color w:val="auto"/>
        </w:rPr>
        <w:t>SOUTHWEST GAS HOLDINGS,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SUMMARY UNAUDITED OPERATING RESULTS</w:t>
      </w:r>
    </w:p>
    <w:p>
      <w:pPr>
        <w:spacing w:after="0" w:line="4"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(In thousands,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4"/>
          </w:tcPr>
          <w:p>
            <w:pPr>
              <w:jc w:val="right"/>
              <w:ind w:right="30"/>
              <w:spacing w:after="0"/>
              <w:rPr>
                <w:sz w:val="20"/>
                <w:szCs w:val="20"/>
                <w:color w:val="auto"/>
              </w:rPr>
            </w:pPr>
            <w:r>
              <w:rPr>
                <w:rFonts w:ascii="Calibri" w:cs="Calibri" w:eastAsia="Calibri" w:hAnsi="Calibri"/>
                <w:sz w:val="18"/>
                <w:szCs w:val="18"/>
                <w:color w:val="auto"/>
                <w:w w:val="96"/>
              </w:rPr>
              <w:t>Twelve Months Ended December</w:t>
            </w:r>
          </w:p>
        </w:tc>
      </w:tr>
      <w:tr>
        <w:trPr>
          <w:trHeight w:val="215"/>
        </w:trPr>
        <w:tc>
          <w:tcPr>
            <w:tcW w:w="5900" w:type="dxa"/>
            <w:vAlign w:val="bottom"/>
          </w:tcPr>
          <w:p>
            <w:pPr>
              <w:spacing w:after="0"/>
              <w:rPr>
                <w:sz w:val="18"/>
                <w:szCs w:val="18"/>
                <w:color w:val="auto"/>
              </w:rPr>
            </w:pPr>
          </w:p>
        </w:tc>
        <w:tc>
          <w:tcPr>
            <w:tcW w:w="2700" w:type="dxa"/>
            <w:vAlign w:val="bottom"/>
            <w:gridSpan w:val="6"/>
          </w:tcPr>
          <w:p>
            <w:pPr>
              <w:ind w:left="40"/>
              <w:spacing w:after="0" w:line="215" w:lineRule="exact"/>
              <w:rPr>
                <w:sz w:val="20"/>
                <w:szCs w:val="20"/>
                <w:color w:val="auto"/>
              </w:rPr>
            </w:pPr>
            <w:r>
              <w:rPr>
                <w:rFonts w:ascii="Calibri" w:cs="Calibri" w:eastAsia="Calibri" w:hAnsi="Calibri"/>
                <w:sz w:val="18"/>
                <w:szCs w:val="18"/>
                <w:color w:val="auto"/>
              </w:rPr>
              <w:t>Three Months Ended December 31,</w:t>
            </w:r>
          </w:p>
        </w:tc>
        <w:tc>
          <w:tcPr>
            <w:tcW w:w="120" w:type="dxa"/>
            <w:vAlign w:val="bottom"/>
          </w:tcPr>
          <w:p>
            <w:pPr>
              <w:spacing w:after="0"/>
              <w:rPr>
                <w:sz w:val="18"/>
                <w:szCs w:val="18"/>
                <w:color w:val="auto"/>
              </w:rPr>
            </w:pPr>
          </w:p>
        </w:tc>
        <w:tc>
          <w:tcPr>
            <w:tcW w:w="1520" w:type="dxa"/>
            <w:vAlign w:val="bottom"/>
            <w:gridSpan w:val="3"/>
          </w:tcPr>
          <w:p>
            <w:pPr>
              <w:jc w:val="right"/>
              <w:ind w:right="130"/>
              <w:spacing w:after="0" w:line="215" w:lineRule="exact"/>
              <w:rPr>
                <w:sz w:val="20"/>
                <w:szCs w:val="20"/>
                <w:color w:val="auto"/>
              </w:rPr>
            </w:pPr>
            <w:r>
              <w:rPr>
                <w:rFonts w:ascii="Calibri" w:cs="Calibri" w:eastAsia="Calibri" w:hAnsi="Calibri"/>
                <w:sz w:val="18"/>
                <w:szCs w:val="18"/>
                <w:color w:val="auto"/>
              </w:rPr>
              <w:t>31,</w:t>
            </w:r>
          </w:p>
        </w:tc>
        <w:tc>
          <w:tcPr>
            <w:tcW w:w="960" w:type="dxa"/>
            <w:vAlign w:val="bottom"/>
          </w:tcPr>
          <w:p>
            <w:pPr>
              <w:spacing w:after="0"/>
              <w:rPr>
                <w:sz w:val="18"/>
                <w:szCs w:val="18"/>
                <w:color w:val="auto"/>
              </w:rPr>
            </w:pPr>
          </w:p>
        </w:tc>
      </w:tr>
      <w:tr>
        <w:trPr>
          <w:trHeight w:val="23"/>
        </w:trPr>
        <w:tc>
          <w:tcPr>
            <w:tcW w:w="5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5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line="215" w:lineRule="exact"/>
              <w:rPr>
                <w:sz w:val="20"/>
                <w:szCs w:val="20"/>
                <w:color w:val="auto"/>
              </w:rPr>
            </w:pPr>
            <w:r>
              <w:rPr>
                <w:rFonts w:ascii="Calibri" w:cs="Calibri" w:eastAsia="Calibri" w:hAnsi="Calibri"/>
                <w:sz w:val="18"/>
                <w:szCs w:val="18"/>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line="215" w:lineRule="exact"/>
              <w:rPr>
                <w:sz w:val="20"/>
                <w:szCs w:val="20"/>
                <w:color w:val="auto"/>
              </w:rPr>
            </w:pPr>
            <w:r>
              <w:rPr>
                <w:rFonts w:ascii="Calibri" w:cs="Calibri" w:eastAsia="Calibri" w:hAnsi="Calibri"/>
                <w:sz w:val="18"/>
                <w:szCs w:val="18"/>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0"/>
              <w:spacing w:after="0" w:line="215" w:lineRule="exact"/>
              <w:rPr>
                <w:sz w:val="20"/>
                <w:szCs w:val="20"/>
                <w:color w:val="auto"/>
              </w:rPr>
            </w:pPr>
            <w:r>
              <w:rPr>
                <w:rFonts w:ascii="Calibri" w:cs="Calibri" w:eastAsia="Calibri" w:hAnsi="Calibri"/>
                <w:sz w:val="18"/>
                <w:szCs w:val="18"/>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line="215" w:lineRule="exact"/>
              <w:rPr>
                <w:sz w:val="20"/>
                <w:szCs w:val="20"/>
                <w:color w:val="auto"/>
              </w:rPr>
            </w:pPr>
            <w:r>
              <w:rPr>
                <w:rFonts w:ascii="Calibri" w:cs="Calibri" w:eastAsia="Calibri" w:hAnsi="Calibri"/>
                <w:sz w:val="18"/>
                <w:szCs w:val="18"/>
                <w:color w:val="auto"/>
              </w:rPr>
              <w:t>2023</w:t>
            </w:r>
          </w:p>
        </w:tc>
      </w:tr>
      <w:tr>
        <w:trPr>
          <w:trHeight w:val="216"/>
        </w:trPr>
        <w:tc>
          <w:tcPr>
            <w:tcW w:w="590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b w:val="1"/>
                <w:bCs w:val="1"/>
                <w:color w:val="auto"/>
              </w:rPr>
              <w:t>Results of Consolidated Operatons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2"/>
        </w:trPr>
        <w:tc>
          <w:tcPr>
            <w:tcW w:w="5900" w:type="dxa"/>
            <w:vAlign w:val="bottom"/>
          </w:tcPr>
          <w:p>
            <w:pPr>
              <w:ind w:left="20"/>
              <w:spacing w:after="0" w:line="215" w:lineRule="exact"/>
              <w:rPr>
                <w:sz w:val="20"/>
                <w:szCs w:val="20"/>
                <w:color w:val="auto"/>
              </w:rPr>
            </w:pPr>
            <w:r>
              <w:rPr>
                <w:rFonts w:ascii="Calibri" w:cs="Calibri" w:eastAsia="Calibri" w:hAnsi="Calibri"/>
                <w:sz w:val="18"/>
                <w:szCs w:val="18"/>
                <w:color w:val="auto"/>
              </w:rPr>
              <w:t>Contributon to net income (loss) - natural gas distributon</w:t>
            </w:r>
          </w:p>
        </w:tc>
        <w:tc>
          <w:tcPr>
            <w:tcW w:w="280" w:type="dxa"/>
            <w:vAlign w:val="bottom"/>
          </w:tcPr>
          <w:p>
            <w:pPr>
              <w:ind w:left="2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97,185</w:t>
            </w:r>
          </w:p>
        </w:tc>
        <w:tc>
          <w:tcPr>
            <w:tcW w:w="100" w:type="dxa"/>
            <w:vAlign w:val="bottom"/>
          </w:tcPr>
          <w:p>
            <w:pPr>
              <w:spacing w:after="0"/>
              <w:rPr>
                <w:sz w:val="19"/>
                <w:szCs w:val="19"/>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91,661</w:t>
            </w:r>
          </w:p>
        </w:tc>
        <w:tc>
          <w:tcPr>
            <w:tcW w:w="10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261,176</w:t>
            </w:r>
          </w:p>
        </w:tc>
        <w:tc>
          <w:tcPr>
            <w:tcW w:w="100" w:type="dxa"/>
            <w:vAlign w:val="bottom"/>
          </w:tcPr>
          <w:p>
            <w:pPr>
              <w:spacing w:after="0"/>
              <w:rPr>
                <w:sz w:val="19"/>
                <w:szCs w:val="19"/>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242,226</w:t>
            </w:r>
          </w:p>
        </w:tc>
      </w:tr>
      <w:tr>
        <w:trPr>
          <w:trHeight w:val="237"/>
        </w:trPr>
        <w:tc>
          <w:tcPr>
            <w:tcW w:w="59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Contributon to net income (loss) - utlity infrastructure services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8,134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(13,086)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19,652</w:t>
            </w:r>
          </w:p>
        </w:tc>
      </w:tr>
      <w:tr>
        <w:trPr>
          <w:trHeight w:val="222"/>
        </w:trPr>
        <w:tc>
          <w:tcPr>
            <w:tcW w:w="5900" w:type="dxa"/>
            <w:vAlign w:val="bottom"/>
          </w:tcPr>
          <w:p>
            <w:pPr>
              <w:ind w:left="20"/>
              <w:spacing w:after="0" w:line="215" w:lineRule="exact"/>
              <w:rPr>
                <w:sz w:val="20"/>
                <w:szCs w:val="20"/>
                <w:color w:val="auto"/>
              </w:rPr>
            </w:pPr>
            <w:r>
              <w:rPr>
                <w:rFonts w:ascii="Calibri" w:cs="Calibri" w:eastAsia="Calibri" w:hAnsi="Calibri"/>
                <w:sz w:val="18"/>
                <w:szCs w:val="18"/>
                <w:color w:val="auto"/>
              </w:rPr>
              <w:t>Contributon to net income (loss) - pipeline and storage</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(16,288)</w:t>
            </w:r>
          </w:p>
        </w:tc>
      </w:tr>
      <w:tr>
        <w:trPr>
          <w:trHeight w:val="230"/>
        </w:trPr>
        <w:tc>
          <w:tcPr>
            <w:tcW w:w="59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Corporate and administratve loss</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(12,863)</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(13,542)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(49,275)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(94,701)</w:t>
            </w:r>
          </w:p>
        </w:tc>
      </w:tr>
      <w:tr>
        <w:trPr>
          <w:trHeight w:val="229"/>
        </w:trPr>
        <w:tc>
          <w:tcPr>
            <w:tcW w:w="5900" w:type="dxa"/>
            <w:vAlign w:val="bottom"/>
          </w:tcPr>
          <w:p>
            <w:pPr>
              <w:ind w:left="20"/>
              <w:spacing w:after="0"/>
              <w:rPr>
                <w:sz w:val="20"/>
                <w:szCs w:val="20"/>
                <w:color w:val="auto"/>
              </w:rPr>
            </w:pPr>
            <w:r>
              <w:rPr>
                <w:rFonts w:ascii="Calibri" w:cs="Calibri" w:eastAsia="Calibri" w:hAnsi="Calibri"/>
                <w:sz w:val="18"/>
                <w:szCs w:val="18"/>
                <w:color w:val="auto"/>
              </w:rPr>
              <w:t>Net income</w:t>
            </w:r>
          </w:p>
        </w:tc>
        <w:tc>
          <w:tcPr>
            <w:tcW w:w="28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92,456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72,869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198,815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150,889</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5900" w:type="dxa"/>
            <w:vAlign w:val="bottom"/>
          </w:tcPr>
          <w:p>
            <w:pPr>
              <w:ind w:left="20"/>
              <w:spacing w:after="0"/>
              <w:rPr>
                <w:sz w:val="20"/>
                <w:szCs w:val="20"/>
                <w:color w:val="auto"/>
              </w:rPr>
            </w:pPr>
            <w:r>
              <w:rPr>
                <w:rFonts w:ascii="Calibri" w:cs="Calibri" w:eastAsia="Calibri" w:hAnsi="Calibri"/>
                <w:sz w:val="18"/>
                <w:szCs w:val="18"/>
                <w:color w:val="auto"/>
              </w:rPr>
              <w:t>Basic earnings per share</w:t>
            </w:r>
          </w:p>
        </w:tc>
        <w:tc>
          <w:tcPr>
            <w:tcW w:w="28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2.13</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Diluted earnings per share</w:t>
            </w:r>
          </w:p>
        </w:tc>
        <w:tc>
          <w:tcPr>
            <w:tcW w:w="28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2.13</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590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Weighted average common shares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71,916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71,672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71,841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70,787</w:t>
            </w:r>
          </w:p>
        </w:tc>
      </w:tr>
      <w:tr>
        <w:trPr>
          <w:trHeight w:val="222"/>
        </w:trPr>
        <w:tc>
          <w:tcPr>
            <w:tcW w:w="590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 average diluted shares</w:t>
            </w:r>
          </w:p>
        </w:tc>
        <w:tc>
          <w:tcPr>
            <w:tcW w:w="28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72,141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71,916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72,032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70,990</w:t>
            </w:r>
          </w:p>
        </w:tc>
      </w:tr>
      <w:tr>
        <w:trPr>
          <w:trHeight w:val="277"/>
        </w:trPr>
        <w:tc>
          <w:tcPr>
            <w:tcW w:w="5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22"/>
        </w:trPr>
        <w:tc>
          <w:tcPr>
            <w:tcW w:w="590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Results of Natural Gas Distributon</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7"/>
        </w:trPr>
        <w:tc>
          <w:tcPr>
            <w:tcW w:w="59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Regulated operatons revenues</w:t>
            </w:r>
          </w:p>
        </w:tc>
        <w:tc>
          <w:tcPr>
            <w:tcW w:w="2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w:t>
            </w: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553,059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w w:val="87"/>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702,216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2,475,216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Calibri" w:cs="Calibri" w:eastAsia="Calibri" w:hAnsi="Calibri"/>
                <w:sz w:val="18"/>
                <w:szCs w:val="18"/>
                <w:color w:val="auto"/>
                <w:w w:val="87"/>
              </w:rPr>
              <w:t>$</w:t>
            </w: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2,499,564</w:t>
            </w:r>
          </w:p>
        </w:tc>
      </w:tr>
      <w:tr>
        <w:trPr>
          <w:trHeight w:val="223"/>
        </w:trPr>
        <w:tc>
          <w:tcPr>
            <w:tcW w:w="590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Net cost of gas sold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165,817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344,623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1,150,005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1,246,901</w:t>
            </w:r>
          </w:p>
        </w:tc>
      </w:tr>
      <w:tr>
        <w:trPr>
          <w:trHeight w:val="229"/>
        </w:trPr>
        <w:tc>
          <w:tcPr>
            <w:tcW w:w="590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Operatng margin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387,242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357,593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1,325,211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1,252,663</w:t>
            </w:r>
          </w:p>
        </w:tc>
      </w:tr>
      <w:tr>
        <w:trPr>
          <w:trHeight w:val="222"/>
        </w:trPr>
        <w:tc>
          <w:tcPr>
            <w:tcW w:w="5900" w:type="dxa"/>
            <w:vAlign w:val="bottom"/>
          </w:tcPr>
          <w:p>
            <w:pPr>
              <w:ind w:left="20"/>
              <w:spacing w:after="0" w:line="215" w:lineRule="exact"/>
              <w:rPr>
                <w:sz w:val="20"/>
                <w:szCs w:val="20"/>
                <w:color w:val="auto"/>
              </w:rPr>
            </w:pPr>
            <w:r>
              <w:rPr>
                <w:rFonts w:ascii="Calibri" w:cs="Calibri" w:eastAsia="Calibri" w:hAnsi="Calibri"/>
                <w:sz w:val="18"/>
                <w:szCs w:val="18"/>
                <w:color w:val="auto"/>
              </w:rPr>
              <w:t>Operatons and maintenance expense</w:t>
            </w:r>
          </w:p>
        </w:tc>
        <w:tc>
          <w:tcPr>
            <w:tcW w:w="28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130,591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133,457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520,820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511,646</w:t>
            </w:r>
          </w:p>
        </w:tc>
      </w:tr>
      <w:tr>
        <w:trPr>
          <w:trHeight w:val="237"/>
        </w:trPr>
        <w:tc>
          <w:tcPr>
            <w:tcW w:w="59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Depreciaton and amortzaton</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82,432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76,699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303,095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295,462</w:t>
            </w:r>
          </w:p>
        </w:tc>
      </w:tr>
      <w:tr>
        <w:trPr>
          <w:trHeight w:val="223"/>
        </w:trPr>
        <w:tc>
          <w:tcPr>
            <w:tcW w:w="590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Taxes other than income taxes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22,551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21,770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88,965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87,261</w:t>
            </w:r>
          </w:p>
        </w:tc>
      </w:tr>
      <w:tr>
        <w:trPr>
          <w:trHeight w:val="230"/>
        </w:trPr>
        <w:tc>
          <w:tcPr>
            <w:tcW w:w="5900" w:type="dxa"/>
            <w:vAlign w:val="bottom"/>
            <w:shd w:val="clear" w:color="auto" w:fill="CCEEFF"/>
          </w:tcPr>
          <w:p>
            <w:pPr>
              <w:ind w:left="20"/>
              <w:spacing w:after="0" w:line="206" w:lineRule="exact"/>
              <w:rPr>
                <w:sz w:val="20"/>
                <w:szCs w:val="20"/>
                <w:color w:val="auto"/>
              </w:rPr>
            </w:pPr>
            <w:r>
              <w:rPr>
                <w:rFonts w:ascii="Calibri" w:cs="Calibri" w:eastAsia="Calibri" w:hAnsi="Calibri"/>
                <w:sz w:val="18"/>
                <w:szCs w:val="18"/>
                <w:color w:val="auto"/>
              </w:rPr>
              <w:t>Operatng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151,668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125,667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412,331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358,294</w:t>
            </w:r>
          </w:p>
        </w:tc>
      </w:tr>
      <w:tr>
        <w:trPr>
          <w:trHeight w:val="222"/>
        </w:trPr>
        <w:tc>
          <w:tcPr>
            <w:tcW w:w="5900" w:type="dxa"/>
            <w:vAlign w:val="bottom"/>
          </w:tcPr>
          <w:p>
            <w:pPr>
              <w:ind w:left="20"/>
              <w:spacing w:after="0" w:line="215" w:lineRule="exact"/>
              <w:rPr>
                <w:sz w:val="20"/>
                <w:szCs w:val="20"/>
                <w:color w:val="auto"/>
              </w:rPr>
            </w:pPr>
            <w:r>
              <w:rPr>
                <w:rFonts w:ascii="Calibri" w:cs="Calibri" w:eastAsia="Calibri" w:hAnsi="Calibri"/>
                <w:sz w:val="18"/>
                <w:szCs w:val="18"/>
                <w:color w:val="auto"/>
              </w:rPr>
              <w:t>Other income (deductons)</w:t>
            </w:r>
          </w:p>
        </w:tc>
        <w:tc>
          <w:tcPr>
            <w:tcW w:w="28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5,300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18,939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54,276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70,661</w:t>
            </w:r>
          </w:p>
        </w:tc>
      </w:tr>
      <w:tr>
        <w:trPr>
          <w:trHeight w:val="237"/>
        </w:trPr>
        <w:tc>
          <w:tcPr>
            <w:tcW w:w="59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Net interest deductons</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43,662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38,332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162,257</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149,830</w:t>
            </w:r>
          </w:p>
        </w:tc>
      </w:tr>
      <w:tr>
        <w:trPr>
          <w:trHeight w:val="216"/>
        </w:trPr>
        <w:tc>
          <w:tcPr>
            <w:tcW w:w="5900" w:type="dxa"/>
            <w:vAlign w:val="bottom"/>
          </w:tcPr>
          <w:p>
            <w:pPr>
              <w:ind w:left="20"/>
              <w:spacing w:after="0" w:line="199" w:lineRule="exact"/>
              <w:rPr>
                <w:sz w:val="20"/>
                <w:szCs w:val="20"/>
                <w:color w:val="auto"/>
              </w:rPr>
            </w:pPr>
            <w:r>
              <w:rPr>
                <w:rFonts w:ascii="Calibri" w:cs="Calibri" w:eastAsia="Calibri" w:hAnsi="Calibri"/>
                <w:sz w:val="18"/>
                <w:szCs w:val="18"/>
                <w:color w:val="auto"/>
              </w:rPr>
              <w:t>Income before income taxes</w:t>
            </w:r>
          </w:p>
        </w:tc>
        <w:tc>
          <w:tcPr>
            <w:tcW w:w="28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113,306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106,274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304,350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279,125</w:t>
            </w:r>
          </w:p>
        </w:tc>
      </w:tr>
      <w:tr>
        <w:trPr>
          <w:trHeight w:val="230"/>
        </w:trPr>
        <w:tc>
          <w:tcPr>
            <w:tcW w:w="59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Income tax expense</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16,121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14,613</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43,174</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36,899</w:t>
            </w:r>
          </w:p>
        </w:tc>
      </w:tr>
      <w:tr>
        <w:trPr>
          <w:trHeight w:val="229"/>
        </w:trPr>
        <w:tc>
          <w:tcPr>
            <w:tcW w:w="5900" w:type="dxa"/>
            <w:vAlign w:val="bottom"/>
          </w:tcPr>
          <w:p>
            <w:pPr>
              <w:ind w:left="20"/>
              <w:spacing w:after="0"/>
              <w:rPr>
                <w:sz w:val="20"/>
                <w:szCs w:val="20"/>
                <w:color w:val="auto"/>
              </w:rPr>
            </w:pPr>
            <w:r>
              <w:rPr>
                <w:rFonts w:ascii="Calibri" w:cs="Calibri" w:eastAsia="Calibri" w:hAnsi="Calibri"/>
                <w:sz w:val="18"/>
                <w:szCs w:val="18"/>
                <w:color w:val="auto"/>
              </w:rPr>
              <w:t>Contributon to consolidated results - natural gas distributon</w:t>
            </w:r>
          </w:p>
        </w:tc>
        <w:tc>
          <w:tcPr>
            <w:tcW w:w="280" w:type="dxa"/>
            <w:vAlign w:val="bottom"/>
            <w:tcBorders>
              <w:bottom w:val="single" w:sz="8" w:color="auto"/>
            </w:tcBorders>
          </w:tcPr>
          <w:p>
            <w:pPr>
              <w:ind w:left="2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97,185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91,661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261,176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242,226</w:t>
            </w: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1246" w:right="35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4"/>
          </w:tcPr>
          <w:p>
            <w:pPr>
              <w:jc w:val="right"/>
              <w:ind w:right="30"/>
              <w:spacing w:after="0"/>
              <w:rPr>
                <w:sz w:val="20"/>
                <w:szCs w:val="20"/>
                <w:color w:val="auto"/>
              </w:rPr>
            </w:pPr>
            <w:r>
              <w:rPr>
                <w:rFonts w:ascii="Calibri" w:cs="Calibri" w:eastAsia="Calibri" w:hAnsi="Calibri"/>
                <w:sz w:val="18"/>
                <w:szCs w:val="18"/>
                <w:color w:val="auto"/>
                <w:w w:val="96"/>
              </w:rPr>
              <w:t>Twelve Months Ended December</w:t>
            </w:r>
          </w:p>
        </w:tc>
      </w:tr>
      <w:tr>
        <w:trPr>
          <w:trHeight w:val="228"/>
        </w:trPr>
        <w:tc>
          <w:tcPr>
            <w:tcW w:w="5880" w:type="dxa"/>
            <w:vAlign w:val="bottom"/>
          </w:tcPr>
          <w:p>
            <w:pPr>
              <w:spacing w:after="0"/>
              <w:rPr>
                <w:sz w:val="19"/>
                <w:szCs w:val="19"/>
                <w:color w:val="auto"/>
              </w:rPr>
            </w:pPr>
          </w:p>
        </w:tc>
        <w:tc>
          <w:tcPr>
            <w:tcW w:w="2700" w:type="dxa"/>
            <w:vAlign w:val="bottom"/>
            <w:gridSpan w:val="6"/>
          </w:tcPr>
          <w:p>
            <w:pPr>
              <w:ind w:left="40"/>
              <w:spacing w:after="0"/>
              <w:rPr>
                <w:sz w:val="20"/>
                <w:szCs w:val="20"/>
                <w:color w:val="auto"/>
              </w:rPr>
            </w:pPr>
            <w:r>
              <w:rPr>
                <w:rFonts w:ascii="Calibri" w:cs="Calibri" w:eastAsia="Calibri" w:hAnsi="Calibri"/>
                <w:sz w:val="18"/>
                <w:szCs w:val="18"/>
                <w:color w:val="auto"/>
              </w:rPr>
              <w:t>Three Months Ended December 31,</w:t>
            </w:r>
          </w:p>
        </w:tc>
        <w:tc>
          <w:tcPr>
            <w:tcW w:w="120" w:type="dxa"/>
            <w:vAlign w:val="bottom"/>
          </w:tcPr>
          <w:p>
            <w:pPr>
              <w:spacing w:after="0"/>
              <w:rPr>
                <w:sz w:val="19"/>
                <w:szCs w:val="19"/>
                <w:color w:val="auto"/>
              </w:rPr>
            </w:pPr>
          </w:p>
        </w:tc>
        <w:tc>
          <w:tcPr>
            <w:tcW w:w="1500" w:type="dxa"/>
            <w:vAlign w:val="bottom"/>
            <w:gridSpan w:val="3"/>
          </w:tcPr>
          <w:p>
            <w:pPr>
              <w:jc w:val="right"/>
              <w:ind w:right="130"/>
              <w:spacing w:after="0" w:line="215" w:lineRule="exact"/>
              <w:rPr>
                <w:sz w:val="20"/>
                <w:szCs w:val="20"/>
                <w:color w:val="auto"/>
              </w:rPr>
            </w:pPr>
            <w:r>
              <w:rPr>
                <w:rFonts w:ascii="Calibri" w:cs="Calibri" w:eastAsia="Calibri" w:hAnsi="Calibri"/>
                <w:sz w:val="18"/>
                <w:szCs w:val="18"/>
                <w:color w:val="auto"/>
              </w:rPr>
              <w:t>31,</w:t>
            </w:r>
          </w:p>
        </w:tc>
        <w:tc>
          <w:tcPr>
            <w:tcW w:w="980" w:type="dxa"/>
            <w:vAlign w:val="bottom"/>
          </w:tcPr>
          <w:p>
            <w:pPr>
              <w:spacing w:after="0"/>
              <w:rPr>
                <w:sz w:val="19"/>
                <w:szCs w:val="19"/>
                <w:color w:val="auto"/>
              </w:rPr>
            </w:pPr>
          </w:p>
        </w:tc>
      </w:tr>
      <w:tr>
        <w:trPr>
          <w:trHeight w:val="23"/>
        </w:trPr>
        <w:tc>
          <w:tcPr>
            <w:tcW w:w="5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8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line="215" w:lineRule="exact"/>
              <w:rPr>
                <w:sz w:val="20"/>
                <w:szCs w:val="20"/>
                <w:color w:val="auto"/>
              </w:rPr>
            </w:pPr>
            <w:r>
              <w:rPr>
                <w:rFonts w:ascii="Calibri" w:cs="Calibri" w:eastAsia="Calibri" w:hAnsi="Calibri"/>
                <w:sz w:val="18"/>
                <w:szCs w:val="18"/>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line="215" w:lineRule="exact"/>
              <w:rPr>
                <w:sz w:val="20"/>
                <w:szCs w:val="20"/>
                <w:color w:val="auto"/>
              </w:rPr>
            </w:pPr>
            <w:r>
              <w:rPr>
                <w:rFonts w:ascii="Calibri" w:cs="Calibri" w:eastAsia="Calibri" w:hAnsi="Calibri"/>
                <w:sz w:val="18"/>
                <w:szCs w:val="18"/>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0"/>
              <w:spacing w:after="0" w:line="215" w:lineRule="exact"/>
              <w:rPr>
                <w:sz w:val="20"/>
                <w:szCs w:val="20"/>
                <w:color w:val="auto"/>
              </w:rPr>
            </w:pPr>
            <w:r>
              <w:rPr>
                <w:rFonts w:ascii="Calibri" w:cs="Calibri" w:eastAsia="Calibri" w:hAnsi="Calibri"/>
                <w:sz w:val="18"/>
                <w:szCs w:val="18"/>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line="215" w:lineRule="exact"/>
              <w:rPr>
                <w:sz w:val="20"/>
                <w:szCs w:val="20"/>
                <w:color w:val="auto"/>
              </w:rPr>
            </w:pPr>
            <w:r>
              <w:rPr>
                <w:rFonts w:ascii="Calibri" w:cs="Calibri" w:eastAsia="Calibri" w:hAnsi="Calibri"/>
                <w:sz w:val="18"/>
                <w:szCs w:val="18"/>
                <w:color w:val="auto"/>
              </w:rPr>
              <w:t>2023</w:t>
            </w:r>
          </w:p>
        </w:tc>
      </w:tr>
      <w:tr>
        <w:trPr>
          <w:trHeight w:val="216"/>
        </w:trPr>
        <w:tc>
          <w:tcPr>
            <w:tcW w:w="5880" w:type="dxa"/>
            <w:vAlign w:val="bottom"/>
            <w:shd w:val="clear" w:color="auto" w:fill="CCEEFF"/>
          </w:tcPr>
          <w:p>
            <w:pPr>
              <w:spacing w:after="0" w:line="202" w:lineRule="exact"/>
              <w:rPr>
                <w:sz w:val="20"/>
                <w:szCs w:val="20"/>
                <w:color w:val="auto"/>
              </w:rPr>
            </w:pPr>
            <w:r>
              <w:rPr>
                <w:rFonts w:ascii="Calibri" w:cs="Calibri" w:eastAsia="Calibri" w:hAnsi="Calibri"/>
                <w:sz w:val="18"/>
                <w:szCs w:val="18"/>
                <w:b w:val="1"/>
                <w:bCs w:val="1"/>
                <w:color w:val="auto"/>
              </w:rPr>
              <w:t>Results of Utlity Infrastructure Services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2"/>
        </w:trPr>
        <w:tc>
          <w:tcPr>
            <w:tcW w:w="5880" w:type="dxa"/>
            <w:vAlign w:val="bottom"/>
          </w:tcPr>
          <w:p>
            <w:pPr>
              <w:spacing w:after="0" w:line="215" w:lineRule="exact"/>
              <w:rPr>
                <w:sz w:val="20"/>
                <w:szCs w:val="20"/>
                <w:color w:val="auto"/>
              </w:rPr>
            </w:pPr>
            <w:r>
              <w:rPr>
                <w:rFonts w:ascii="Calibri" w:cs="Calibri" w:eastAsia="Calibri" w:hAnsi="Calibri"/>
                <w:sz w:val="18"/>
                <w:szCs w:val="18"/>
                <w:color w:val="auto"/>
              </w:rPr>
              <w:t>Utlity infrastructure services revenues</w:t>
            </w:r>
          </w:p>
        </w:tc>
        <w:tc>
          <w:tcPr>
            <w:tcW w:w="280" w:type="dxa"/>
            <w:vAlign w:val="bottom"/>
          </w:tcPr>
          <w:p>
            <w:pPr>
              <w:ind w:left="2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717,078</w:t>
            </w:r>
          </w:p>
        </w:tc>
        <w:tc>
          <w:tcPr>
            <w:tcW w:w="100" w:type="dxa"/>
            <w:vAlign w:val="bottom"/>
          </w:tcPr>
          <w:p>
            <w:pPr>
              <w:spacing w:after="0"/>
              <w:rPr>
                <w:sz w:val="19"/>
                <w:szCs w:val="19"/>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665,315</w:t>
            </w:r>
          </w:p>
        </w:tc>
        <w:tc>
          <w:tcPr>
            <w:tcW w:w="100" w:type="dxa"/>
            <w:vAlign w:val="bottom"/>
          </w:tcPr>
          <w:p>
            <w:pPr>
              <w:spacing w:after="0"/>
              <w:rPr>
                <w:sz w:val="19"/>
                <w:szCs w:val="19"/>
                <w:color w:val="auto"/>
              </w:rPr>
            </w:pPr>
          </w:p>
        </w:tc>
        <w:tc>
          <w:tcPr>
            <w:tcW w:w="12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2,637,229</w:t>
            </w:r>
          </w:p>
        </w:tc>
        <w:tc>
          <w:tcPr>
            <w:tcW w:w="100" w:type="dxa"/>
            <w:vAlign w:val="bottom"/>
          </w:tcPr>
          <w:p>
            <w:pPr>
              <w:spacing w:after="0"/>
              <w:rPr>
                <w:sz w:val="19"/>
                <w:szCs w:val="19"/>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2,899,276</w:t>
            </w:r>
          </w:p>
        </w:tc>
      </w:tr>
      <w:tr>
        <w:trPr>
          <w:trHeight w:val="237"/>
        </w:trPr>
        <w:tc>
          <w:tcPr>
            <w:tcW w:w="5880" w:type="dxa"/>
            <w:vAlign w:val="bottom"/>
            <w:shd w:val="clear" w:color="auto" w:fill="CCEEFF"/>
          </w:tcPr>
          <w:p>
            <w:pPr>
              <w:spacing w:after="0"/>
              <w:rPr>
                <w:sz w:val="20"/>
                <w:szCs w:val="20"/>
                <w:color w:val="auto"/>
              </w:rPr>
            </w:pPr>
            <w:r>
              <w:rPr>
                <w:rFonts w:ascii="Calibri" w:cs="Calibri" w:eastAsia="Calibri" w:hAnsi="Calibri"/>
                <w:sz w:val="18"/>
                <w:szCs w:val="18"/>
                <w:color w:val="auto"/>
              </w:rPr>
              <w:t>Operatng expenses: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2"/>
        </w:trPr>
        <w:tc>
          <w:tcPr>
            <w:tcW w:w="5880" w:type="dxa"/>
            <w:vAlign w:val="bottom"/>
          </w:tcPr>
          <w:p>
            <w:pPr>
              <w:ind w:left="120"/>
              <w:spacing w:after="0" w:line="215" w:lineRule="exact"/>
              <w:rPr>
                <w:sz w:val="20"/>
                <w:szCs w:val="20"/>
                <w:color w:val="auto"/>
              </w:rPr>
            </w:pPr>
            <w:r>
              <w:rPr>
                <w:rFonts w:ascii="Calibri" w:cs="Calibri" w:eastAsia="Calibri" w:hAnsi="Calibri"/>
                <w:sz w:val="18"/>
                <w:szCs w:val="18"/>
                <w:color w:val="auto"/>
              </w:rPr>
              <w:t>Utlity infrastructure services expenses</w:t>
            </w:r>
          </w:p>
        </w:tc>
        <w:tc>
          <w:tcPr>
            <w:tcW w:w="28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649,985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612,318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2,415,101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2,617,402</w:t>
            </w:r>
          </w:p>
        </w:tc>
      </w:tr>
      <w:tr>
        <w:trPr>
          <w:trHeight w:val="237"/>
        </w:trPr>
        <w:tc>
          <w:tcPr>
            <w:tcW w:w="5880" w:type="dxa"/>
            <w:vAlign w:val="bottom"/>
            <w:shd w:val="clear" w:color="auto" w:fill="CCEEFF"/>
          </w:tcPr>
          <w:p>
            <w:pPr>
              <w:ind w:left="120"/>
              <w:spacing w:after="0"/>
              <w:rPr>
                <w:sz w:val="20"/>
                <w:szCs w:val="20"/>
                <w:color w:val="auto"/>
              </w:rPr>
            </w:pPr>
            <w:r>
              <w:rPr>
                <w:rFonts w:ascii="Calibri" w:cs="Calibri" w:eastAsia="Calibri" w:hAnsi="Calibri"/>
                <w:sz w:val="18"/>
                <w:szCs w:val="18"/>
                <w:color w:val="auto"/>
              </w:rPr>
              <w:t>Depreciaton and amortzaton</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33,433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34,464</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135,345</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145,446</w:t>
            </w:r>
          </w:p>
        </w:tc>
      </w:tr>
      <w:tr>
        <w:trPr>
          <w:trHeight w:val="216"/>
        </w:trPr>
        <w:tc>
          <w:tcPr>
            <w:tcW w:w="5880" w:type="dxa"/>
            <w:vAlign w:val="bottom"/>
          </w:tcPr>
          <w:p>
            <w:pPr>
              <w:ind w:left="220"/>
              <w:spacing w:after="0" w:line="199" w:lineRule="exact"/>
              <w:rPr>
                <w:sz w:val="20"/>
                <w:szCs w:val="20"/>
                <w:color w:val="auto"/>
              </w:rPr>
            </w:pPr>
            <w:r>
              <w:rPr>
                <w:rFonts w:ascii="Calibri" w:cs="Calibri" w:eastAsia="Calibri" w:hAnsi="Calibri"/>
                <w:sz w:val="18"/>
                <w:szCs w:val="18"/>
                <w:color w:val="auto"/>
              </w:rPr>
              <w:t>Operatng income</w:t>
            </w:r>
          </w:p>
        </w:tc>
        <w:tc>
          <w:tcPr>
            <w:tcW w:w="28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33,660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18,533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86,783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136,428</w:t>
            </w:r>
          </w:p>
        </w:tc>
      </w:tr>
      <w:tr>
        <w:trPr>
          <w:trHeight w:val="237"/>
        </w:trPr>
        <w:tc>
          <w:tcPr>
            <w:tcW w:w="5880" w:type="dxa"/>
            <w:vAlign w:val="bottom"/>
            <w:shd w:val="clear" w:color="auto" w:fill="CCEEFF"/>
          </w:tcPr>
          <w:p>
            <w:pPr>
              <w:spacing w:after="0"/>
              <w:rPr>
                <w:sz w:val="20"/>
                <w:szCs w:val="20"/>
                <w:color w:val="auto"/>
              </w:rPr>
            </w:pPr>
            <w:r>
              <w:rPr>
                <w:rFonts w:ascii="Calibri" w:cs="Calibri" w:eastAsia="Calibri" w:hAnsi="Calibri"/>
                <w:sz w:val="18"/>
                <w:szCs w:val="18"/>
                <w:color w:val="auto"/>
              </w:rPr>
              <w:t>Other income (deductons)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(247)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376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64</w:t>
            </w:r>
          </w:p>
        </w:tc>
      </w:tr>
      <w:tr>
        <w:trPr>
          <w:trHeight w:val="223"/>
        </w:trPr>
        <w:tc>
          <w:tcPr>
            <w:tcW w:w="5880" w:type="dxa"/>
            <w:vAlign w:val="bottom"/>
            <w:tcBorders>
              <w:bottom w:val="single" w:sz="8" w:color="CCEEFF"/>
            </w:tcBorders>
          </w:tcPr>
          <w:p>
            <w:pPr>
              <w:spacing w:after="0" w:line="215" w:lineRule="exact"/>
              <w:rPr>
                <w:sz w:val="20"/>
                <w:szCs w:val="20"/>
                <w:color w:val="auto"/>
              </w:rPr>
            </w:pPr>
            <w:r>
              <w:rPr>
                <w:rFonts w:ascii="Calibri" w:cs="Calibri" w:eastAsia="Calibri" w:hAnsi="Calibri"/>
                <w:sz w:val="18"/>
                <w:szCs w:val="18"/>
                <w:color w:val="auto"/>
              </w:rPr>
              <w:t>Net interest deductons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19,862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24,444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90,515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97,476</w:t>
            </w:r>
          </w:p>
        </w:tc>
      </w:tr>
      <w:tr>
        <w:trPr>
          <w:trHeight w:val="230"/>
        </w:trPr>
        <w:tc>
          <w:tcPr>
            <w:tcW w:w="5880" w:type="dxa"/>
            <w:vAlign w:val="bottom"/>
            <w:shd w:val="clear" w:color="auto" w:fill="CCEEFF"/>
          </w:tcPr>
          <w:p>
            <w:pPr>
              <w:ind w:left="220"/>
              <w:spacing w:after="0" w:line="206" w:lineRule="exact"/>
              <w:rPr>
                <w:sz w:val="20"/>
                <w:szCs w:val="20"/>
                <w:color w:val="auto"/>
              </w:rPr>
            </w:pPr>
            <w:r>
              <w:rPr>
                <w:rFonts w:ascii="Calibri" w:cs="Calibri" w:eastAsia="Calibri" w:hAnsi="Calibri"/>
                <w:sz w:val="18"/>
                <w:szCs w:val="18"/>
                <w:color w:val="auto"/>
              </w:rPr>
              <w:t>Income (loss) before income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13,274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(6,158)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(3,356)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39,016</w:t>
            </w:r>
          </w:p>
        </w:tc>
      </w:tr>
      <w:tr>
        <w:trPr>
          <w:trHeight w:val="223"/>
        </w:trPr>
        <w:tc>
          <w:tcPr>
            <w:tcW w:w="5880" w:type="dxa"/>
            <w:vAlign w:val="bottom"/>
            <w:tcBorders>
              <w:bottom w:val="single" w:sz="8" w:color="CCEEFF"/>
            </w:tcBorders>
          </w:tcPr>
          <w:p>
            <w:pPr>
              <w:spacing w:after="0" w:line="215" w:lineRule="exact"/>
              <w:rPr>
                <w:sz w:val="20"/>
                <w:szCs w:val="20"/>
                <w:color w:val="auto"/>
              </w:rPr>
            </w:pPr>
            <w:r>
              <w:rPr>
                <w:rFonts w:ascii="Calibri" w:cs="Calibri" w:eastAsia="Calibri" w:hAnsi="Calibri"/>
                <w:sz w:val="18"/>
                <w:szCs w:val="18"/>
                <w:color w:val="auto"/>
              </w:rPr>
              <w:t>Income tax expense (beneft)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3,195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3,709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14,736</w:t>
            </w:r>
          </w:p>
        </w:tc>
      </w:tr>
      <w:tr>
        <w:trPr>
          <w:trHeight w:val="230"/>
        </w:trPr>
        <w:tc>
          <w:tcPr>
            <w:tcW w:w="5880" w:type="dxa"/>
            <w:vAlign w:val="bottom"/>
            <w:shd w:val="clear" w:color="auto" w:fill="CCEEFF"/>
          </w:tcPr>
          <w:p>
            <w:pPr>
              <w:ind w:left="220"/>
              <w:spacing w:after="0" w:line="206" w:lineRule="exact"/>
              <w:rPr>
                <w:sz w:val="20"/>
                <w:szCs w:val="20"/>
                <w:color w:val="auto"/>
              </w:rPr>
            </w:pPr>
            <w:r>
              <w:rPr>
                <w:rFonts w:ascii="Calibri" w:cs="Calibri" w:eastAsia="Calibri" w:hAnsi="Calibri"/>
                <w:sz w:val="18"/>
                <w:szCs w:val="18"/>
                <w:color w:val="auto"/>
              </w:rPr>
              <w:t>Net income (loss)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10,079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(4,478)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(7,065)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24,280</w:t>
            </w:r>
          </w:p>
        </w:tc>
      </w:tr>
      <w:tr>
        <w:trPr>
          <w:trHeight w:val="223"/>
        </w:trPr>
        <w:tc>
          <w:tcPr>
            <w:tcW w:w="5880" w:type="dxa"/>
            <w:vAlign w:val="bottom"/>
            <w:tcBorders>
              <w:bottom w:val="single" w:sz="8" w:color="CCEEFF"/>
            </w:tcBorders>
          </w:tcPr>
          <w:p>
            <w:pPr>
              <w:spacing w:after="0" w:line="215" w:lineRule="exact"/>
              <w:rPr>
                <w:sz w:val="20"/>
                <w:szCs w:val="20"/>
                <w:color w:val="auto"/>
              </w:rPr>
            </w:pPr>
            <w:r>
              <w:rPr>
                <w:rFonts w:ascii="Calibri" w:cs="Calibri" w:eastAsia="Calibri" w:hAnsi="Calibri"/>
                <w:sz w:val="18"/>
                <w:szCs w:val="18"/>
                <w:color w:val="auto"/>
              </w:rPr>
              <w:t>Net income atributable to noncontrolling interests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772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4,628</w:t>
            </w:r>
          </w:p>
        </w:tc>
      </w:tr>
      <w:tr>
        <w:trPr>
          <w:trHeight w:val="255"/>
        </w:trPr>
        <w:tc>
          <w:tcPr>
            <w:tcW w:w="5880" w:type="dxa"/>
            <w:vAlign w:val="bottom"/>
            <w:tcBorders>
              <w:bottom w:val="single" w:sz="8" w:color="CCEEFF"/>
            </w:tcBorders>
            <w:shd w:val="clear" w:color="auto" w:fill="CCEEFF"/>
          </w:tcPr>
          <w:p>
            <w:pPr>
              <w:spacing w:after="0"/>
              <w:rPr>
                <w:sz w:val="20"/>
                <w:szCs w:val="20"/>
                <w:color w:val="auto"/>
              </w:rPr>
            </w:pPr>
            <w:r>
              <w:rPr>
                <w:rFonts w:ascii="Calibri" w:cs="Calibri" w:eastAsia="Calibri" w:hAnsi="Calibri"/>
                <w:sz w:val="18"/>
                <w:szCs w:val="18"/>
                <w:color w:val="auto"/>
              </w:rPr>
              <w:t>Contributon to consolidated results atributable to Centuri</w:t>
            </w:r>
          </w:p>
        </w:tc>
        <w:tc>
          <w:tcPr>
            <w:tcW w:w="280" w:type="dxa"/>
            <w:vAlign w:val="bottom"/>
            <w:tcBorders>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8,134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(13,086)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19,652</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60" w:top="1342" w:right="35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80" w:type="dxa"/>
            <w:vAlign w:val="bottom"/>
          </w:tcPr>
          <w:p>
            <w:pPr>
              <w:ind w:left="20"/>
              <w:spacing w:after="0"/>
              <w:rPr>
                <w:sz w:val="20"/>
                <w:szCs w:val="20"/>
                <w:color w:val="auto"/>
              </w:rPr>
            </w:pPr>
            <w:r>
              <w:rPr>
                <w:rFonts w:ascii="Calibri" w:cs="Calibri" w:eastAsia="Calibri" w:hAnsi="Calibri"/>
                <w:sz w:val="18"/>
                <w:szCs w:val="18"/>
                <w:b w:val="1"/>
                <w:bCs w:val="1"/>
                <w:color w:val="auto"/>
              </w:rPr>
              <w:t>FINANCIAL STATISTICS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Market value to book value per share at quarter end</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145 %</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80" w:type="dxa"/>
            <w:vAlign w:val="bottom"/>
          </w:tcPr>
          <w:p>
            <w:pPr>
              <w:ind w:left="20"/>
              <w:spacing w:after="0" w:line="215" w:lineRule="exact"/>
              <w:rPr>
                <w:sz w:val="20"/>
                <w:szCs w:val="20"/>
                <w:color w:val="auto"/>
              </w:rPr>
            </w:pPr>
            <w:r>
              <w:rPr>
                <w:rFonts w:ascii="Calibri" w:cs="Calibri" w:eastAsia="Calibri" w:hAnsi="Calibri"/>
                <w:sz w:val="18"/>
                <w:szCs w:val="18"/>
                <w:color w:val="auto"/>
              </w:rPr>
              <w:t>Twelve months to date return on equity</w:t>
            </w:r>
          </w:p>
        </w:tc>
        <w:tc>
          <w:tcPr>
            <w:tcW w:w="2340" w:type="dxa"/>
            <w:vAlign w:val="bottom"/>
            <w:gridSpan w:val="4"/>
          </w:tcPr>
          <w:p>
            <w:pPr>
              <w:ind w:left="100"/>
              <w:spacing w:after="0" w:line="215" w:lineRule="exact"/>
              <w:rPr>
                <w:sz w:val="20"/>
                <w:szCs w:val="20"/>
                <w:color w:val="auto"/>
              </w:rPr>
            </w:pPr>
            <w:r>
              <w:rPr>
                <w:rFonts w:ascii="Calibri" w:cs="Calibri" w:eastAsia="Calibri" w:hAnsi="Calibri"/>
                <w:sz w:val="18"/>
                <w:szCs w:val="18"/>
                <w:color w:val="auto"/>
              </w:rPr>
              <w:t>-- total company</w:t>
            </w:r>
          </w:p>
        </w:tc>
        <w:tc>
          <w:tcPr>
            <w:tcW w:w="1980" w:type="dxa"/>
            <w:vAlign w:val="bottom"/>
          </w:tcPr>
          <w:p>
            <w:pPr>
              <w:jc w:val="right"/>
              <w:spacing w:after="0" w:line="215" w:lineRule="exact"/>
              <w:rPr>
                <w:sz w:val="20"/>
                <w:szCs w:val="20"/>
                <w:color w:val="auto"/>
              </w:rPr>
            </w:pPr>
            <w:r>
              <w:rPr>
                <w:rFonts w:ascii="Calibri" w:cs="Calibri" w:eastAsia="Calibri" w:hAnsi="Calibri"/>
                <w:sz w:val="18"/>
                <w:szCs w:val="18"/>
                <w:color w:val="auto"/>
              </w:rPr>
              <w:t>5.8 %</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2340" w:type="dxa"/>
            <w:vAlign w:val="bottom"/>
            <w:gridSpan w:val="4"/>
            <w:shd w:val="clear" w:color="auto" w:fill="CCEEFF"/>
          </w:tcPr>
          <w:p>
            <w:pPr>
              <w:ind w:left="100"/>
              <w:spacing w:after="0"/>
              <w:rPr>
                <w:sz w:val="20"/>
                <w:szCs w:val="20"/>
                <w:color w:val="auto"/>
              </w:rPr>
            </w:pPr>
            <w:r>
              <w:rPr>
                <w:rFonts w:ascii="Calibri" w:cs="Calibri" w:eastAsia="Calibri" w:hAnsi="Calibri"/>
                <w:sz w:val="18"/>
                <w:szCs w:val="18"/>
                <w:color w:val="auto"/>
              </w:rPr>
              <w:t>-- gas segment</w:t>
            </w:r>
          </w:p>
        </w:tc>
        <w:tc>
          <w:tcPr>
            <w:tcW w:w="19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8.1 %</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80" w:type="dxa"/>
            <w:vAlign w:val="bottom"/>
          </w:tcPr>
          <w:p>
            <w:pPr>
              <w:ind w:left="20"/>
              <w:spacing w:after="0" w:line="215" w:lineRule="exact"/>
              <w:rPr>
                <w:sz w:val="20"/>
                <w:szCs w:val="20"/>
                <w:color w:val="auto"/>
              </w:rPr>
            </w:pPr>
            <w:r>
              <w:rPr>
                <w:rFonts w:ascii="Calibri" w:cs="Calibri" w:eastAsia="Calibri" w:hAnsi="Calibri"/>
                <w:sz w:val="18"/>
                <w:szCs w:val="18"/>
                <w:color w:val="auto"/>
              </w:rPr>
              <w:t>Common stock dividend yield at quarter end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right"/>
              <w:spacing w:after="0" w:line="215" w:lineRule="exact"/>
              <w:rPr>
                <w:sz w:val="20"/>
                <w:szCs w:val="20"/>
                <w:color w:val="auto"/>
              </w:rPr>
            </w:pPr>
            <w:r>
              <w:rPr>
                <w:rFonts w:ascii="Calibri" w:cs="Calibri" w:eastAsia="Calibri" w:hAnsi="Calibri"/>
                <w:sz w:val="18"/>
                <w:szCs w:val="18"/>
                <w:color w:val="auto"/>
              </w:rPr>
              <w:t>3.5 %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3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Customer to employee rato at quarter end (gas segment)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80" w:type="dxa"/>
            <w:vAlign w:val="bottom"/>
            <w:shd w:val="clear" w:color="auto" w:fill="CCEEFF"/>
          </w:tcPr>
          <w:p>
            <w:pPr>
              <w:ind w:left="1380"/>
              <w:spacing w:after="0"/>
              <w:rPr>
                <w:sz w:val="20"/>
                <w:szCs w:val="20"/>
                <w:color w:val="auto"/>
              </w:rPr>
            </w:pPr>
            <w:r>
              <w:rPr>
                <w:rFonts w:ascii="Calibri" w:cs="Calibri" w:eastAsia="Calibri" w:hAnsi="Calibri"/>
                <w:sz w:val="18"/>
                <w:szCs w:val="18"/>
                <w:color w:val="auto"/>
                <w:w w:val="96"/>
              </w:rPr>
              <w:t>927 to 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1"/>
        </w:trPr>
        <w:tc>
          <w:tcPr>
            <w:tcW w:w="4380" w:type="dxa"/>
            <w:vAlign w:val="bottom"/>
          </w:tcPr>
          <w:p>
            <w:pPr>
              <w:ind w:left="20"/>
              <w:spacing w:after="0"/>
              <w:rPr>
                <w:sz w:val="20"/>
                <w:szCs w:val="20"/>
                <w:color w:val="auto"/>
              </w:rPr>
            </w:pPr>
            <w:r>
              <w:rPr>
                <w:rFonts w:ascii="Calibri" w:cs="Calibri" w:eastAsia="Calibri" w:hAnsi="Calibri"/>
                <w:sz w:val="18"/>
                <w:szCs w:val="18"/>
                <w:b w:val="1"/>
                <w:bCs w:val="1"/>
                <w:color w:val="auto"/>
              </w:rPr>
              <w:t>GAS DISTRIBUTION SEGMENT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2"/>
            <w:vMerge w:val="restart"/>
          </w:tcPr>
          <w:p>
            <w:pPr>
              <w:jc w:val="center"/>
              <w:ind w:right="340"/>
              <w:spacing w:after="0"/>
              <w:rPr>
                <w:sz w:val="20"/>
                <w:szCs w:val="20"/>
                <w:color w:val="auto"/>
              </w:rPr>
            </w:pPr>
            <w:r>
              <w:rPr>
                <w:rFonts w:ascii="Calibri" w:cs="Calibri" w:eastAsia="Calibri" w:hAnsi="Calibri"/>
                <w:sz w:val="18"/>
                <w:szCs w:val="18"/>
                <w:color w:val="auto"/>
                <w:w w:val="98"/>
              </w:rPr>
              <w:t>Authorized Rate Base</w:t>
            </w: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vMerge w:val="restart"/>
          </w:tcPr>
          <w:p>
            <w:pPr>
              <w:jc w:val="right"/>
              <w:ind w:right="270"/>
              <w:spacing w:after="0"/>
              <w:rPr>
                <w:sz w:val="20"/>
                <w:szCs w:val="20"/>
                <w:color w:val="auto"/>
              </w:rPr>
            </w:pPr>
            <w:r>
              <w:rPr>
                <w:rFonts w:ascii="Calibri" w:cs="Calibri" w:eastAsia="Calibri" w:hAnsi="Calibri"/>
                <w:sz w:val="18"/>
                <w:szCs w:val="18"/>
                <w:color w:val="auto"/>
              </w:rPr>
              <w:t>Authorized Return on</w:t>
            </w:r>
          </w:p>
        </w:tc>
        <w:tc>
          <w:tcPr>
            <w:tcW w:w="0" w:type="dxa"/>
            <w:vAlign w:val="bottom"/>
          </w:tcPr>
          <w:p>
            <w:pPr>
              <w:spacing w:after="0"/>
              <w:rPr>
                <w:sz w:val="1"/>
                <w:szCs w:val="1"/>
                <w:color w:val="auto"/>
              </w:rPr>
            </w:pPr>
          </w:p>
        </w:tc>
      </w:tr>
      <w:tr>
        <w:trPr>
          <w:trHeight w:val="42"/>
        </w:trPr>
        <w:tc>
          <w:tcPr>
            <w:tcW w:w="4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40" w:type="dxa"/>
            <w:vAlign w:val="bottom"/>
            <w:gridSpan w:val="2"/>
            <w:vMerge w:val="continue"/>
          </w:tcPr>
          <w:p>
            <w:pPr>
              <w:spacing w:after="0"/>
              <w:rPr>
                <w:sz w:val="3"/>
                <w:szCs w:val="3"/>
                <w:color w:val="auto"/>
              </w:rPr>
            </w:pPr>
          </w:p>
        </w:tc>
        <w:tc>
          <w:tcPr>
            <w:tcW w:w="1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380" w:type="dxa"/>
            <w:vAlign w:val="bottom"/>
          </w:tcPr>
          <w:p>
            <w:pPr>
              <w:ind w:left="20"/>
              <w:spacing w:after="0"/>
              <w:rPr>
                <w:sz w:val="20"/>
                <w:szCs w:val="20"/>
                <w:color w:val="auto"/>
              </w:rPr>
            </w:pPr>
            <w:r>
              <w:rPr>
                <w:rFonts w:ascii="Calibri" w:cs="Calibri" w:eastAsia="Calibri" w:hAnsi="Calibri"/>
                <w:sz w:val="18"/>
                <w:szCs w:val="18"/>
                <w:color w:val="auto"/>
              </w:rPr>
              <w:t>Rate Jurisdicton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jc w:val="center"/>
              <w:ind w:right="300"/>
              <w:spacing w:after="0" w:line="215" w:lineRule="exact"/>
              <w:rPr>
                <w:sz w:val="20"/>
                <w:szCs w:val="20"/>
                <w:color w:val="auto"/>
              </w:rPr>
            </w:pPr>
            <w:r>
              <w:rPr>
                <w:rFonts w:ascii="Calibri" w:cs="Calibri" w:eastAsia="Calibri" w:hAnsi="Calibri"/>
                <w:sz w:val="18"/>
                <w:szCs w:val="18"/>
                <w:color w:val="auto"/>
                <w:w w:val="97"/>
              </w:rPr>
              <w:t>(In thousands)</w:t>
            </w:r>
          </w:p>
        </w:tc>
        <w:tc>
          <w:tcPr>
            <w:tcW w:w="2280" w:type="dxa"/>
            <w:vAlign w:val="bottom"/>
            <w:gridSpan w:val="3"/>
          </w:tcPr>
          <w:p>
            <w:pPr>
              <w:ind w:left="160"/>
              <w:spacing w:after="0"/>
              <w:rPr>
                <w:sz w:val="20"/>
                <w:szCs w:val="20"/>
                <w:color w:val="auto"/>
              </w:rPr>
            </w:pPr>
            <w:r>
              <w:rPr>
                <w:rFonts w:ascii="Calibri" w:cs="Calibri" w:eastAsia="Calibri" w:hAnsi="Calibri"/>
                <w:sz w:val="18"/>
                <w:szCs w:val="18"/>
                <w:color w:val="auto"/>
              </w:rPr>
              <w:t>Authorized Rate of Return</w:t>
            </w:r>
          </w:p>
        </w:tc>
        <w:tc>
          <w:tcPr>
            <w:tcW w:w="2240" w:type="dxa"/>
            <w:vAlign w:val="bottom"/>
          </w:tcPr>
          <w:p>
            <w:pPr>
              <w:jc w:val="right"/>
              <w:ind w:right="450"/>
              <w:spacing w:after="0" w:line="215" w:lineRule="exact"/>
              <w:rPr>
                <w:sz w:val="20"/>
                <w:szCs w:val="20"/>
                <w:color w:val="auto"/>
              </w:rPr>
            </w:pPr>
            <w:r>
              <w:rPr>
                <w:rFonts w:ascii="Calibri" w:cs="Calibri" w:eastAsia="Calibri" w:hAnsi="Calibri"/>
                <w:sz w:val="18"/>
                <w:szCs w:val="18"/>
                <w:color w:val="auto"/>
              </w:rPr>
              <w:t>Common Equity</w:t>
            </w:r>
          </w:p>
        </w:tc>
        <w:tc>
          <w:tcPr>
            <w:tcW w:w="0" w:type="dxa"/>
            <w:vAlign w:val="bottom"/>
          </w:tcPr>
          <w:p>
            <w:pPr>
              <w:spacing w:after="0"/>
              <w:rPr>
                <w:sz w:val="1"/>
                <w:szCs w:val="1"/>
                <w:color w:val="auto"/>
              </w:rPr>
            </w:pPr>
          </w:p>
        </w:tc>
      </w:tr>
      <w:tr>
        <w:trPr>
          <w:trHeight w:val="23"/>
        </w:trPr>
        <w:tc>
          <w:tcPr>
            <w:tcW w:w="4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Arizona</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9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2,607,568</w:t>
            </w:r>
          </w:p>
        </w:tc>
        <w:tc>
          <w:tcPr>
            <w:tcW w:w="1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680"/>
              <w:spacing w:after="0" w:line="215" w:lineRule="exact"/>
              <w:rPr>
                <w:sz w:val="20"/>
                <w:szCs w:val="20"/>
                <w:color w:val="auto"/>
              </w:rPr>
            </w:pPr>
            <w:r>
              <w:rPr>
                <w:rFonts w:ascii="Calibri" w:cs="Calibri" w:eastAsia="Calibri" w:hAnsi="Calibri"/>
                <w:sz w:val="18"/>
                <w:szCs w:val="18"/>
                <w:color w:val="auto"/>
                <w:w w:val="98"/>
              </w:rPr>
              <w:t>6.73 %</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9.30 %</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line="230" w:lineRule="exact"/>
              <w:rPr>
                <w:sz w:val="20"/>
                <w:szCs w:val="20"/>
                <w:color w:val="auto"/>
              </w:rPr>
            </w:pPr>
            <w:r>
              <w:rPr>
                <w:rFonts w:ascii="Calibri" w:cs="Calibri" w:eastAsia="Calibri" w:hAnsi="Calibri"/>
                <w:sz w:val="18"/>
                <w:szCs w:val="18"/>
                <w:color w:val="auto"/>
              </w:rPr>
              <w:t>Southern Nevada</w:t>
            </w:r>
            <w:r>
              <w:rPr>
                <w:rFonts w:ascii="Calibri" w:cs="Calibri" w:eastAsia="Calibri" w:hAnsi="Calibri"/>
                <w:sz w:val="23"/>
                <w:szCs w:val="23"/>
                <w:color w:val="auto"/>
                <w:vertAlign w:val="superscript"/>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line="215" w:lineRule="exact"/>
              <w:rPr>
                <w:sz w:val="20"/>
                <w:szCs w:val="20"/>
                <w:color w:val="auto"/>
              </w:rPr>
            </w:pPr>
            <w:r>
              <w:rPr>
                <w:rFonts w:ascii="Calibri" w:cs="Calibri" w:eastAsia="Calibri" w:hAnsi="Calibri"/>
                <w:sz w:val="18"/>
                <w:szCs w:val="18"/>
                <w:color w:val="auto"/>
              </w:rPr>
              <w:t>1,780,756</w:t>
            </w:r>
          </w:p>
        </w:tc>
        <w:tc>
          <w:tcPr>
            <w:tcW w:w="120" w:type="dxa"/>
            <w:vAlign w:val="bottom"/>
          </w:tcPr>
          <w:p>
            <w:pPr>
              <w:spacing w:after="0"/>
              <w:rPr>
                <w:sz w:val="19"/>
                <w:szCs w:val="19"/>
                <w:color w:val="auto"/>
              </w:rPr>
            </w:pPr>
          </w:p>
        </w:tc>
        <w:tc>
          <w:tcPr>
            <w:tcW w:w="2180" w:type="dxa"/>
            <w:vAlign w:val="bottom"/>
            <w:gridSpan w:val="2"/>
          </w:tcPr>
          <w:p>
            <w:pPr>
              <w:ind w:left="1680"/>
              <w:spacing w:after="0" w:line="215" w:lineRule="exact"/>
              <w:rPr>
                <w:sz w:val="20"/>
                <w:szCs w:val="20"/>
                <w:color w:val="auto"/>
              </w:rPr>
            </w:pPr>
            <w:r>
              <w:rPr>
                <w:rFonts w:ascii="Calibri" w:cs="Calibri" w:eastAsia="Calibri" w:hAnsi="Calibri"/>
                <w:sz w:val="18"/>
                <w:szCs w:val="18"/>
                <w:color w:val="auto"/>
              </w:rPr>
              <w:t>7.00</w:t>
            </w:r>
          </w:p>
        </w:tc>
        <w:tc>
          <w:tcPr>
            <w:tcW w:w="100" w:type="dxa"/>
            <w:vAlign w:val="bottom"/>
          </w:tcPr>
          <w:p>
            <w:pPr>
              <w:spacing w:after="0"/>
              <w:rPr>
                <w:sz w:val="19"/>
                <w:szCs w:val="19"/>
                <w:color w:val="auto"/>
              </w:rPr>
            </w:pPr>
          </w:p>
        </w:tc>
        <w:tc>
          <w:tcPr>
            <w:tcW w:w="22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9.50</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line="230" w:lineRule="exact"/>
              <w:rPr>
                <w:sz w:val="20"/>
                <w:szCs w:val="20"/>
                <w:color w:val="auto"/>
              </w:rPr>
            </w:pPr>
            <w:r>
              <w:rPr>
                <w:rFonts w:ascii="Calibri" w:cs="Calibri" w:eastAsia="Calibri" w:hAnsi="Calibri"/>
                <w:sz w:val="18"/>
                <w:szCs w:val="18"/>
                <w:color w:val="auto"/>
              </w:rPr>
              <w:t>Northern Nevada</w:t>
            </w:r>
            <w:r>
              <w:rPr>
                <w:rFonts w:ascii="Calibri" w:cs="Calibri" w:eastAsia="Calibri" w:hAnsi="Calibri"/>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227,060</w:t>
            </w:r>
          </w:p>
        </w:tc>
        <w:tc>
          <w:tcPr>
            <w:tcW w:w="1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680"/>
              <w:spacing w:after="0" w:line="215" w:lineRule="exact"/>
              <w:rPr>
                <w:sz w:val="20"/>
                <w:szCs w:val="20"/>
                <w:color w:val="auto"/>
              </w:rPr>
            </w:pPr>
            <w:r>
              <w:rPr>
                <w:rFonts w:ascii="Calibri" w:cs="Calibri" w:eastAsia="Calibri" w:hAnsi="Calibri"/>
                <w:sz w:val="18"/>
                <w:szCs w:val="18"/>
                <w:color w:val="auto"/>
              </w:rPr>
              <w:t>7.01</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9.50</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line="230" w:lineRule="exact"/>
              <w:rPr>
                <w:sz w:val="20"/>
                <w:szCs w:val="20"/>
                <w:color w:val="auto"/>
              </w:rPr>
            </w:pPr>
            <w:r>
              <w:rPr>
                <w:rFonts w:ascii="Calibri" w:cs="Calibri" w:eastAsia="Calibri" w:hAnsi="Calibri"/>
                <w:sz w:val="18"/>
                <w:szCs w:val="18"/>
                <w:color w:val="auto"/>
              </w:rPr>
              <w:t>Southern California</w:t>
            </w:r>
            <w:r>
              <w:rPr>
                <w:rFonts w:ascii="Calibri" w:cs="Calibri" w:eastAsia="Calibri" w:hAnsi="Calibri"/>
                <w:sz w:val="23"/>
                <w:szCs w:val="23"/>
                <w:color w:val="auto"/>
                <w:vertAlign w:val="superscript"/>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line="215" w:lineRule="exact"/>
              <w:rPr>
                <w:sz w:val="20"/>
                <w:szCs w:val="20"/>
                <w:color w:val="auto"/>
              </w:rPr>
            </w:pPr>
            <w:r>
              <w:rPr>
                <w:rFonts w:ascii="Calibri" w:cs="Calibri" w:eastAsia="Calibri" w:hAnsi="Calibri"/>
                <w:sz w:val="18"/>
                <w:szCs w:val="18"/>
                <w:color w:val="auto"/>
              </w:rPr>
              <w:t>285,691</w:t>
            </w:r>
          </w:p>
        </w:tc>
        <w:tc>
          <w:tcPr>
            <w:tcW w:w="120" w:type="dxa"/>
            <w:vAlign w:val="bottom"/>
          </w:tcPr>
          <w:p>
            <w:pPr>
              <w:spacing w:after="0"/>
              <w:rPr>
                <w:sz w:val="19"/>
                <w:szCs w:val="19"/>
                <w:color w:val="auto"/>
              </w:rPr>
            </w:pPr>
          </w:p>
        </w:tc>
        <w:tc>
          <w:tcPr>
            <w:tcW w:w="2180" w:type="dxa"/>
            <w:vAlign w:val="bottom"/>
            <w:gridSpan w:val="2"/>
          </w:tcPr>
          <w:p>
            <w:pPr>
              <w:ind w:left="1680"/>
              <w:spacing w:after="0" w:line="215" w:lineRule="exact"/>
              <w:rPr>
                <w:sz w:val="20"/>
                <w:szCs w:val="20"/>
                <w:color w:val="auto"/>
              </w:rPr>
            </w:pPr>
            <w:r>
              <w:rPr>
                <w:rFonts w:ascii="Calibri" w:cs="Calibri" w:eastAsia="Calibri" w:hAnsi="Calibri"/>
                <w:sz w:val="18"/>
                <w:szCs w:val="18"/>
                <w:color w:val="auto"/>
              </w:rPr>
              <w:t>8.02</w:t>
            </w:r>
          </w:p>
        </w:tc>
        <w:tc>
          <w:tcPr>
            <w:tcW w:w="100" w:type="dxa"/>
            <w:vAlign w:val="bottom"/>
          </w:tcPr>
          <w:p>
            <w:pPr>
              <w:spacing w:after="0"/>
              <w:rPr>
                <w:sz w:val="19"/>
                <w:szCs w:val="19"/>
                <w:color w:val="auto"/>
              </w:rPr>
            </w:pPr>
          </w:p>
        </w:tc>
        <w:tc>
          <w:tcPr>
            <w:tcW w:w="22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11.16</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line="230" w:lineRule="exact"/>
              <w:rPr>
                <w:sz w:val="20"/>
                <w:szCs w:val="20"/>
                <w:color w:val="auto"/>
              </w:rPr>
            </w:pPr>
            <w:r>
              <w:rPr>
                <w:rFonts w:ascii="Calibri" w:cs="Calibri" w:eastAsia="Calibri" w:hAnsi="Calibri"/>
                <w:sz w:val="18"/>
                <w:szCs w:val="18"/>
                <w:color w:val="auto"/>
              </w:rPr>
              <w:t>Northern California</w:t>
            </w:r>
            <w:r>
              <w:rPr>
                <w:rFonts w:ascii="Calibri" w:cs="Calibri" w:eastAsia="Calibri" w:hAnsi="Calibri"/>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92,983</w:t>
            </w:r>
          </w:p>
        </w:tc>
        <w:tc>
          <w:tcPr>
            <w:tcW w:w="1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680"/>
              <w:spacing w:after="0" w:line="215" w:lineRule="exact"/>
              <w:rPr>
                <w:sz w:val="20"/>
                <w:szCs w:val="20"/>
                <w:color w:val="auto"/>
              </w:rPr>
            </w:pPr>
            <w:r>
              <w:rPr>
                <w:rFonts w:ascii="Calibri" w:cs="Calibri" w:eastAsia="Calibri" w:hAnsi="Calibri"/>
                <w:sz w:val="18"/>
                <w:szCs w:val="18"/>
                <w:color w:val="auto"/>
              </w:rPr>
              <w:t>7.91</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11.16</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line="230" w:lineRule="exact"/>
              <w:rPr>
                <w:sz w:val="20"/>
                <w:szCs w:val="20"/>
                <w:color w:val="auto"/>
              </w:rPr>
            </w:pPr>
            <w:r>
              <w:rPr>
                <w:rFonts w:ascii="Calibri" w:cs="Calibri" w:eastAsia="Calibri" w:hAnsi="Calibri"/>
                <w:sz w:val="18"/>
                <w:szCs w:val="18"/>
                <w:color w:val="auto"/>
              </w:rPr>
              <w:t>South Lake Tahoe</w:t>
            </w:r>
            <w:r>
              <w:rPr>
                <w:rFonts w:ascii="Calibri" w:cs="Calibri" w:eastAsia="Calibri" w:hAnsi="Calibri"/>
                <w:sz w:val="23"/>
                <w:szCs w:val="23"/>
                <w:color w:val="auto"/>
                <w:vertAlign w:val="superscript"/>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line="215" w:lineRule="exact"/>
              <w:rPr>
                <w:sz w:val="20"/>
                <w:szCs w:val="20"/>
                <w:color w:val="auto"/>
              </w:rPr>
            </w:pPr>
            <w:r>
              <w:rPr>
                <w:rFonts w:ascii="Calibri" w:cs="Calibri" w:eastAsia="Calibri" w:hAnsi="Calibri"/>
                <w:sz w:val="18"/>
                <w:szCs w:val="18"/>
                <w:color w:val="auto"/>
              </w:rPr>
              <w:t>56,818</w:t>
            </w:r>
          </w:p>
        </w:tc>
        <w:tc>
          <w:tcPr>
            <w:tcW w:w="120" w:type="dxa"/>
            <w:vAlign w:val="bottom"/>
          </w:tcPr>
          <w:p>
            <w:pPr>
              <w:spacing w:after="0"/>
              <w:rPr>
                <w:sz w:val="19"/>
                <w:szCs w:val="19"/>
                <w:color w:val="auto"/>
              </w:rPr>
            </w:pPr>
          </w:p>
        </w:tc>
        <w:tc>
          <w:tcPr>
            <w:tcW w:w="2180" w:type="dxa"/>
            <w:vAlign w:val="bottom"/>
            <w:gridSpan w:val="2"/>
          </w:tcPr>
          <w:p>
            <w:pPr>
              <w:ind w:left="1680"/>
              <w:spacing w:after="0" w:line="215" w:lineRule="exact"/>
              <w:rPr>
                <w:sz w:val="20"/>
                <w:szCs w:val="20"/>
                <w:color w:val="auto"/>
              </w:rPr>
            </w:pPr>
            <w:r>
              <w:rPr>
                <w:rFonts w:ascii="Calibri" w:cs="Calibri" w:eastAsia="Calibri" w:hAnsi="Calibri"/>
                <w:sz w:val="18"/>
                <w:szCs w:val="18"/>
                <w:color w:val="auto"/>
              </w:rPr>
              <w:t>7.91</w:t>
            </w:r>
          </w:p>
        </w:tc>
        <w:tc>
          <w:tcPr>
            <w:tcW w:w="100" w:type="dxa"/>
            <w:vAlign w:val="bottom"/>
          </w:tcPr>
          <w:p>
            <w:pPr>
              <w:spacing w:after="0"/>
              <w:rPr>
                <w:sz w:val="19"/>
                <w:szCs w:val="19"/>
                <w:color w:val="auto"/>
              </w:rPr>
            </w:pPr>
          </w:p>
        </w:tc>
        <w:tc>
          <w:tcPr>
            <w:tcW w:w="22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11.16</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line="230" w:lineRule="exact"/>
              <w:rPr>
                <w:sz w:val="20"/>
                <w:szCs w:val="20"/>
                <w:color w:val="auto"/>
              </w:rPr>
            </w:pPr>
            <w:r>
              <w:rPr>
                <w:rFonts w:ascii="Calibri" w:cs="Calibri" w:eastAsia="Calibri" w:hAnsi="Calibri"/>
                <w:sz w:val="18"/>
                <w:szCs w:val="18"/>
                <w:color w:val="auto"/>
              </w:rPr>
              <w:t>Great Basin Gas Transmission Company</w:t>
            </w:r>
            <w:r>
              <w:rPr>
                <w:rFonts w:ascii="Calibri" w:cs="Calibri" w:eastAsia="Calibri" w:hAnsi="Calibri"/>
                <w:sz w:val="23"/>
                <w:szCs w:val="23"/>
                <w:color w:val="auto"/>
                <w:vertAlign w:val="superscript"/>
              </w:rPr>
              <w:t>(3)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135,460</w:t>
            </w:r>
          </w:p>
        </w:tc>
        <w:tc>
          <w:tcPr>
            <w:tcW w:w="120" w:type="dxa"/>
            <w:vAlign w:val="bottom"/>
            <w:shd w:val="clear" w:color="auto" w:fill="CCEEFF"/>
          </w:tcPr>
          <w:p>
            <w:pPr>
              <w:spacing w:after="0"/>
              <w:rPr>
                <w:sz w:val="19"/>
                <w:szCs w:val="19"/>
                <w:color w:val="auto"/>
              </w:rPr>
            </w:pPr>
          </w:p>
        </w:tc>
        <w:tc>
          <w:tcPr>
            <w:tcW w:w="2180" w:type="dxa"/>
            <w:vAlign w:val="bottom"/>
            <w:tcBorders>
              <w:bottom w:val="single" w:sz="8" w:color="auto"/>
            </w:tcBorders>
            <w:gridSpan w:val="2"/>
            <w:shd w:val="clear" w:color="auto" w:fill="CCEEFF"/>
          </w:tcPr>
          <w:p>
            <w:pPr>
              <w:ind w:left="1680"/>
              <w:spacing w:after="0" w:line="215" w:lineRule="exact"/>
              <w:rPr>
                <w:sz w:val="20"/>
                <w:szCs w:val="20"/>
                <w:color w:val="auto"/>
              </w:rPr>
            </w:pPr>
            <w:r>
              <w:rPr>
                <w:rFonts w:ascii="Calibri" w:cs="Calibri" w:eastAsia="Calibri" w:hAnsi="Calibri"/>
                <w:sz w:val="18"/>
                <w:szCs w:val="18"/>
                <w:color w:val="auto"/>
              </w:rPr>
              <w:t>8.30</w:t>
            </w:r>
          </w:p>
        </w:tc>
        <w:tc>
          <w:tcPr>
            <w:tcW w:w="100" w:type="dxa"/>
            <w:vAlign w:val="bottom"/>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ind w:right="90"/>
              <w:spacing w:after="0" w:line="215" w:lineRule="exact"/>
              <w:rPr>
                <w:sz w:val="20"/>
                <w:szCs w:val="20"/>
                <w:color w:val="auto"/>
              </w:rPr>
            </w:pPr>
            <w:r>
              <w:rPr>
                <w:rFonts w:ascii="Calibri" w:cs="Calibri" w:eastAsia="Calibri" w:hAnsi="Calibri"/>
                <w:sz w:val="18"/>
                <w:szCs w:val="18"/>
                <w:color w:val="auto"/>
              </w:rPr>
              <w:t>11.80</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Calibri" w:cs="Calibri" w:eastAsia="Calibri" w:hAnsi="Calibri"/>
                <w:sz w:val="18"/>
                <w:szCs w:val="18"/>
                <w:color w:val="auto"/>
              </w:rPr>
              <w:t>Total/Weighted Average</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5,186,336</w:t>
            </w:r>
          </w:p>
        </w:tc>
        <w:tc>
          <w:tcPr>
            <w:tcW w:w="120" w:type="dxa"/>
            <w:vAlign w:val="bottom"/>
          </w:tcPr>
          <w:p>
            <w:pPr>
              <w:spacing w:after="0"/>
              <w:rPr>
                <w:sz w:val="19"/>
                <w:szCs w:val="19"/>
                <w:color w:val="auto"/>
              </w:rPr>
            </w:pPr>
          </w:p>
        </w:tc>
        <w:tc>
          <w:tcPr>
            <w:tcW w:w="2180" w:type="dxa"/>
            <w:vAlign w:val="bottom"/>
            <w:tcBorders>
              <w:bottom w:val="single" w:sz="8" w:color="auto"/>
            </w:tcBorders>
            <w:gridSpan w:val="2"/>
          </w:tcPr>
          <w:p>
            <w:pPr>
              <w:ind w:left="1680"/>
              <w:spacing w:after="0" w:line="215" w:lineRule="exact"/>
              <w:rPr>
                <w:sz w:val="20"/>
                <w:szCs w:val="20"/>
                <w:color w:val="auto"/>
              </w:rPr>
            </w:pPr>
            <w:r>
              <w:rPr>
                <w:rFonts w:ascii="Calibri" w:cs="Calibri" w:eastAsia="Calibri" w:hAnsi="Calibri"/>
                <w:sz w:val="18"/>
                <w:szCs w:val="18"/>
                <w:color w:val="auto"/>
                <w:w w:val="98"/>
              </w:rPr>
              <w:t>6.98 %</w:t>
            </w:r>
          </w:p>
        </w:tc>
        <w:tc>
          <w:tcPr>
            <w:tcW w:w="100" w:type="dxa"/>
            <w:vAlign w:val="bottom"/>
          </w:tcPr>
          <w:p>
            <w:pPr>
              <w:spacing w:after="0"/>
              <w:rPr>
                <w:sz w:val="19"/>
                <w:szCs w:val="19"/>
                <w:color w:val="auto"/>
              </w:rPr>
            </w:pPr>
          </w:p>
        </w:tc>
        <w:tc>
          <w:tcPr>
            <w:tcW w:w="2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9.60 %</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160" w:hanging="152"/>
        <w:spacing w:after="0"/>
        <w:tabs>
          <w:tab w:leader="none" w:pos="160" w:val="left"/>
        </w:tabs>
        <w:numPr>
          <w:ilvl w:val="0"/>
          <w:numId w:val="18"/>
        </w:numPr>
        <w:rPr>
          <w:rFonts w:ascii="Calibri" w:cs="Calibri" w:eastAsia="Calibri" w:hAnsi="Calibri"/>
          <w:sz w:val="20"/>
          <w:szCs w:val="20"/>
          <w:color w:val="auto"/>
          <w:vertAlign w:val="superscript"/>
        </w:rPr>
      </w:pPr>
      <w:r>
        <w:rPr>
          <w:rFonts w:ascii="Calibri" w:cs="Calibri" w:eastAsia="Calibri" w:hAnsi="Calibri"/>
          <w:sz w:val="15"/>
          <w:szCs w:val="15"/>
          <w:color w:val="auto"/>
        </w:rPr>
        <w:t>Efectve April 2024.</w:t>
      </w:r>
    </w:p>
    <w:p>
      <w:pPr>
        <w:spacing w:after="0" w:line="40" w:lineRule="exact"/>
        <w:rPr>
          <w:rFonts w:ascii="Calibri" w:cs="Calibri" w:eastAsia="Calibri" w:hAnsi="Calibri"/>
          <w:sz w:val="20"/>
          <w:szCs w:val="20"/>
          <w:color w:val="auto"/>
          <w:vertAlign w:val="superscript"/>
        </w:rPr>
      </w:pPr>
    </w:p>
    <w:p>
      <w:pPr>
        <w:ind w:left="160" w:hanging="152"/>
        <w:spacing w:after="0" w:line="186" w:lineRule="auto"/>
        <w:tabs>
          <w:tab w:leader="none" w:pos="160" w:val="left"/>
        </w:tabs>
        <w:numPr>
          <w:ilvl w:val="0"/>
          <w:numId w:val="18"/>
        </w:numPr>
        <w:rPr>
          <w:rFonts w:ascii="Calibri" w:cs="Calibri" w:eastAsia="Calibri" w:hAnsi="Calibri"/>
          <w:sz w:val="17"/>
          <w:szCs w:val="17"/>
          <w:color w:val="auto"/>
          <w:vertAlign w:val="superscript"/>
        </w:rPr>
      </w:pPr>
      <w:r>
        <w:rPr>
          <w:rFonts w:ascii="Calibri" w:cs="Calibri" w:eastAsia="Calibri" w:hAnsi="Calibri"/>
          <w:sz w:val="13"/>
          <w:szCs w:val="13"/>
          <w:color w:val="auto"/>
        </w:rPr>
        <w:t>Authorized returns updated efectve January 1, 2024, due to an Automatc Rate of Return Trigger Mechanism.</w:t>
      </w:r>
    </w:p>
    <w:p>
      <w:pPr>
        <w:spacing w:after="0" w:line="28" w:lineRule="exact"/>
        <w:rPr>
          <w:rFonts w:ascii="Calibri" w:cs="Calibri" w:eastAsia="Calibri" w:hAnsi="Calibri"/>
          <w:sz w:val="17"/>
          <w:szCs w:val="17"/>
          <w:color w:val="auto"/>
          <w:vertAlign w:val="superscript"/>
        </w:rPr>
      </w:pPr>
    </w:p>
    <w:p>
      <w:pPr>
        <w:ind w:left="160" w:hanging="152"/>
        <w:spacing w:after="0" w:line="186" w:lineRule="auto"/>
        <w:tabs>
          <w:tab w:leader="none" w:pos="160" w:val="left"/>
        </w:tabs>
        <w:numPr>
          <w:ilvl w:val="0"/>
          <w:numId w:val="18"/>
        </w:numPr>
        <w:rPr>
          <w:rFonts w:ascii="Calibri" w:cs="Calibri" w:eastAsia="Calibri" w:hAnsi="Calibri"/>
          <w:sz w:val="17"/>
          <w:szCs w:val="17"/>
          <w:color w:val="auto"/>
          <w:vertAlign w:val="superscript"/>
        </w:rPr>
      </w:pPr>
      <w:r>
        <w:rPr>
          <w:rFonts w:ascii="Calibri" w:cs="Calibri" w:eastAsia="Calibri" w:hAnsi="Calibri"/>
          <w:sz w:val="13"/>
          <w:szCs w:val="13"/>
          <w:color w:val="auto"/>
        </w:rPr>
        <w:t>Estmated amounts based on 2019/2020 rate case setlement.</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60" w:type="dxa"/>
            <w:vAlign w:val="bottom"/>
            <w:gridSpan w:val="2"/>
          </w:tcPr>
          <w:p>
            <w:pPr>
              <w:ind w:left="20"/>
              <w:spacing w:after="0"/>
              <w:rPr>
                <w:sz w:val="20"/>
                <w:szCs w:val="20"/>
                <w:color w:val="auto"/>
              </w:rPr>
            </w:pPr>
            <w:r>
              <w:rPr>
                <w:rFonts w:ascii="Calibri" w:cs="Calibri" w:eastAsia="Calibri" w:hAnsi="Calibri"/>
                <w:sz w:val="18"/>
                <w:szCs w:val="18"/>
                <w:b w:val="1"/>
                <w:bCs w:val="1"/>
                <w:color w:val="auto"/>
              </w:rPr>
              <w:t>SYSTEM THROUGHPUT BY CUSTOMER CLASS</w:t>
            </w:r>
          </w:p>
        </w:tc>
        <w:tc>
          <w:tcPr>
            <w:tcW w:w="3120" w:type="dxa"/>
            <w:vAlign w:val="bottom"/>
            <w:gridSpan w:val="5"/>
          </w:tcPr>
          <w:p>
            <w:pPr>
              <w:ind w:left="1180"/>
              <w:spacing w:after="0"/>
              <w:rPr>
                <w:sz w:val="20"/>
                <w:szCs w:val="20"/>
                <w:color w:val="auto"/>
              </w:rPr>
            </w:pPr>
            <w:r>
              <w:rPr>
                <w:rFonts w:ascii="Calibri" w:cs="Calibri" w:eastAsia="Calibri" w:hAnsi="Calibri"/>
                <w:sz w:val="18"/>
                <w:szCs w:val="18"/>
                <w:color w:val="auto"/>
              </w:rPr>
              <w:t>Year Ended December 31,</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060" w:type="dxa"/>
            <w:vAlign w:val="bottom"/>
            <w:gridSpan w:val="2"/>
            <w:vMerge w:val="restart"/>
          </w:tcPr>
          <w:p>
            <w:pPr>
              <w:ind w:left="20"/>
              <w:spacing w:after="0"/>
              <w:rPr>
                <w:sz w:val="20"/>
                <w:szCs w:val="20"/>
                <w:color w:val="auto"/>
              </w:rPr>
            </w:pPr>
            <w:r>
              <w:rPr>
                <w:rFonts w:ascii="Calibri" w:cs="Calibri" w:eastAsia="Calibri" w:hAnsi="Calibri"/>
                <w:sz w:val="18"/>
                <w:szCs w:val="18"/>
                <w:color w:val="auto"/>
              </w:rPr>
              <w:t>(In dekatherms)</w:t>
            </w: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60" w:type="dxa"/>
            <w:vAlign w:val="bottom"/>
            <w:gridSpan w:val="2"/>
            <w:vMerge w:val="continue"/>
          </w:tcPr>
          <w:p>
            <w:pPr>
              <w:spacing w:after="0"/>
              <w:rPr>
                <w:sz w:val="19"/>
                <w:szCs w:val="19"/>
                <w:color w:val="auto"/>
              </w:rPr>
            </w:pPr>
          </w:p>
        </w:tc>
        <w:tc>
          <w:tcPr>
            <w:tcW w:w="1340" w:type="dxa"/>
            <w:vAlign w:val="bottom"/>
          </w:tcPr>
          <w:p>
            <w:pPr>
              <w:jc w:val="right"/>
              <w:ind w:right="390"/>
              <w:spacing w:after="0" w:line="215" w:lineRule="exact"/>
              <w:rPr>
                <w:sz w:val="20"/>
                <w:szCs w:val="20"/>
                <w:color w:val="auto"/>
              </w:rPr>
            </w:pPr>
            <w:r>
              <w:rPr>
                <w:rFonts w:ascii="Calibri" w:cs="Calibri" w:eastAsia="Calibri" w:hAnsi="Calibri"/>
                <w:sz w:val="18"/>
                <w:szCs w:val="18"/>
                <w:color w:val="auto"/>
              </w:rPr>
              <w:t>2024</w:t>
            </w:r>
          </w:p>
        </w:tc>
        <w:tc>
          <w:tcPr>
            <w:tcW w:w="80" w:type="dxa"/>
            <w:vAlign w:val="bottom"/>
          </w:tcPr>
          <w:p>
            <w:pPr>
              <w:spacing w:after="0"/>
              <w:rPr>
                <w:sz w:val="19"/>
                <w:szCs w:val="19"/>
                <w:color w:val="auto"/>
              </w:rPr>
            </w:pPr>
          </w:p>
        </w:tc>
        <w:tc>
          <w:tcPr>
            <w:tcW w:w="1320" w:type="dxa"/>
            <w:vAlign w:val="bottom"/>
          </w:tcPr>
          <w:p>
            <w:pPr>
              <w:jc w:val="right"/>
              <w:ind w:right="390"/>
              <w:spacing w:after="0" w:line="215" w:lineRule="exact"/>
              <w:rPr>
                <w:sz w:val="20"/>
                <w:szCs w:val="20"/>
                <w:color w:val="auto"/>
              </w:rPr>
            </w:pPr>
            <w:r>
              <w:rPr>
                <w:rFonts w:ascii="Calibri" w:cs="Calibri" w:eastAsia="Calibri" w:hAnsi="Calibri"/>
                <w:sz w:val="18"/>
                <w:szCs w:val="18"/>
                <w:color w:val="auto"/>
              </w:rPr>
              <w:t>2023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6980" w:type="dxa"/>
            <w:vAlign w:val="bottom"/>
            <w:tcBorders>
              <w:top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Residental</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77,066,236</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86,965,340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81,391,894</w:t>
            </w:r>
          </w:p>
        </w:tc>
        <w:tc>
          <w:tcPr>
            <w:tcW w:w="0" w:type="dxa"/>
            <w:vAlign w:val="bottom"/>
          </w:tcPr>
          <w:p>
            <w:pPr>
              <w:spacing w:after="0"/>
              <w:rPr>
                <w:sz w:val="1"/>
                <w:szCs w:val="1"/>
                <w:color w:val="auto"/>
              </w:rPr>
            </w:pPr>
          </w:p>
        </w:tc>
      </w:tr>
      <w:tr>
        <w:trPr>
          <w:trHeight w:val="222"/>
        </w:trPr>
        <w:tc>
          <w:tcPr>
            <w:tcW w:w="706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Small commercial</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33,289,392</w:t>
            </w:r>
          </w:p>
        </w:tc>
        <w:tc>
          <w:tcPr>
            <w:tcW w:w="80" w:type="dxa"/>
            <w:vAlign w:val="bottom"/>
          </w:tcPr>
          <w:p>
            <w:pPr>
              <w:spacing w:after="0"/>
              <w:rPr>
                <w:sz w:val="19"/>
                <w:szCs w:val="19"/>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35,091,975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33,498,789</w:t>
            </w:r>
          </w:p>
        </w:tc>
        <w:tc>
          <w:tcPr>
            <w:tcW w:w="0" w:type="dxa"/>
            <w:vAlign w:val="bottom"/>
          </w:tcPr>
          <w:p>
            <w:pPr>
              <w:spacing w:after="0"/>
              <w:rPr>
                <w:sz w:val="1"/>
                <w:szCs w:val="1"/>
                <w:color w:val="auto"/>
              </w:rPr>
            </w:pPr>
          </w:p>
        </w:tc>
      </w:tr>
      <w:tr>
        <w:trPr>
          <w:trHeight w:val="237"/>
        </w:trPr>
        <w:tc>
          <w:tcPr>
            <w:tcW w:w="706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Large commercial</w:t>
            </w: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10,838,926</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11,091,489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10,004,476</w:t>
            </w:r>
          </w:p>
        </w:tc>
        <w:tc>
          <w:tcPr>
            <w:tcW w:w="0" w:type="dxa"/>
            <w:vAlign w:val="bottom"/>
          </w:tcPr>
          <w:p>
            <w:pPr>
              <w:spacing w:after="0"/>
              <w:rPr>
                <w:sz w:val="1"/>
                <w:szCs w:val="1"/>
                <w:color w:val="auto"/>
              </w:rPr>
            </w:pPr>
          </w:p>
        </w:tc>
      </w:tr>
      <w:tr>
        <w:trPr>
          <w:trHeight w:val="222"/>
        </w:trPr>
        <w:tc>
          <w:tcPr>
            <w:tcW w:w="706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Industrial / Other</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5,535,745</w:t>
            </w:r>
          </w:p>
        </w:tc>
        <w:tc>
          <w:tcPr>
            <w:tcW w:w="80" w:type="dxa"/>
            <w:vAlign w:val="bottom"/>
          </w:tcPr>
          <w:p>
            <w:pPr>
              <w:spacing w:after="0"/>
              <w:rPr>
                <w:sz w:val="19"/>
                <w:szCs w:val="19"/>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7,759,919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5,004,721</w:t>
            </w: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Transportaton</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92,698,389</w:t>
            </w:r>
          </w:p>
        </w:tc>
        <w:tc>
          <w:tcPr>
            <w:tcW w:w="80" w:type="dxa"/>
            <w:vAlign w:val="bottom"/>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85,685,447</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92,518,734</w:t>
            </w:r>
          </w:p>
        </w:tc>
        <w:tc>
          <w:tcPr>
            <w:tcW w:w="0" w:type="dxa"/>
            <w:vAlign w:val="bottom"/>
          </w:tcPr>
          <w:p>
            <w:pPr>
              <w:spacing w:after="0"/>
              <w:rPr>
                <w:sz w:val="1"/>
                <w:szCs w:val="1"/>
                <w:color w:val="auto"/>
              </w:rPr>
            </w:pPr>
          </w:p>
        </w:tc>
      </w:tr>
      <w:tr>
        <w:trPr>
          <w:trHeight w:val="230"/>
        </w:trPr>
        <w:tc>
          <w:tcPr>
            <w:tcW w:w="7060" w:type="dxa"/>
            <w:vAlign w:val="bottom"/>
            <w:gridSpan w:val="2"/>
          </w:tcPr>
          <w:p>
            <w:pPr>
              <w:ind w:left="220"/>
              <w:spacing w:after="0"/>
              <w:rPr>
                <w:sz w:val="20"/>
                <w:szCs w:val="20"/>
                <w:color w:val="auto"/>
              </w:rPr>
            </w:pPr>
            <w:r>
              <w:rPr>
                <w:rFonts w:ascii="Calibri" w:cs="Calibri" w:eastAsia="Calibri" w:hAnsi="Calibri"/>
                <w:sz w:val="18"/>
                <w:szCs w:val="18"/>
                <w:color w:val="auto"/>
              </w:rPr>
              <w:t>Total system throughput</w:t>
            </w: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219,428,688</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226,594,170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222,418,614</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ind w:left="20"/>
              <w:spacing w:after="0"/>
              <w:rPr>
                <w:sz w:val="20"/>
                <w:szCs w:val="20"/>
                <w:color w:val="auto"/>
              </w:rPr>
            </w:pPr>
            <w:r>
              <w:rPr>
                <w:rFonts w:ascii="Calibri" w:cs="Calibri" w:eastAsia="Calibri" w:hAnsi="Calibri"/>
                <w:sz w:val="18"/>
                <w:szCs w:val="18"/>
                <w:b w:val="1"/>
                <w:bCs w:val="1"/>
                <w:color w:val="auto"/>
              </w:rPr>
              <w:t>HEATING DEGREE DAY COMPARISON</w:t>
            </w: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706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5"/>
        </w:trPr>
        <w:tc>
          <w:tcPr>
            <w:tcW w:w="69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shd w:val="clear" w:color="auto" w:fill="CCEEFF"/>
              </w:rPr>
              <w:t>Actual</w:t>
            </w:r>
          </w:p>
        </w:tc>
        <w:tc>
          <w:tcPr>
            <w:tcW w:w="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1,669</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1,952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1,828</w:t>
            </w:r>
          </w:p>
        </w:tc>
        <w:tc>
          <w:tcPr>
            <w:tcW w:w="0" w:type="dxa"/>
            <w:vAlign w:val="bottom"/>
          </w:tcPr>
          <w:p>
            <w:pPr>
              <w:spacing w:after="0"/>
              <w:rPr>
                <w:sz w:val="1"/>
                <w:szCs w:val="1"/>
                <w:color w:val="auto"/>
              </w:rPr>
            </w:pPr>
          </w:p>
        </w:tc>
      </w:tr>
      <w:tr>
        <w:trPr>
          <w:trHeight w:val="368"/>
        </w:trPr>
        <w:tc>
          <w:tcPr>
            <w:tcW w:w="7060" w:type="dxa"/>
            <w:vAlign w:val="bottom"/>
            <w:gridSpan w:val="2"/>
          </w:tcPr>
          <w:p>
            <w:pPr>
              <w:ind w:left="20"/>
              <w:spacing w:after="0"/>
              <w:rPr>
                <w:sz w:val="20"/>
                <w:szCs w:val="20"/>
                <w:color w:val="auto"/>
              </w:rPr>
            </w:pPr>
            <w:r>
              <w:rPr>
                <w:rFonts w:ascii="Calibri" w:cs="Calibri" w:eastAsia="Calibri" w:hAnsi="Calibri"/>
                <w:sz w:val="18"/>
                <w:szCs w:val="18"/>
                <w:color w:val="auto"/>
              </w:rPr>
              <w:t>Ten-year average</w:t>
            </w:r>
          </w:p>
        </w:tc>
        <w:tc>
          <w:tcPr>
            <w:tcW w:w="1340" w:type="dxa"/>
            <w:vAlign w:val="bottom"/>
          </w:tcPr>
          <w:p>
            <w:pPr>
              <w:jc w:val="right"/>
              <w:spacing w:after="0"/>
              <w:rPr>
                <w:sz w:val="20"/>
                <w:szCs w:val="20"/>
                <w:color w:val="auto"/>
              </w:rPr>
            </w:pPr>
            <w:r>
              <w:rPr>
                <w:rFonts w:ascii="Calibri" w:cs="Calibri" w:eastAsia="Calibri" w:hAnsi="Calibri"/>
                <w:sz w:val="18"/>
                <w:szCs w:val="18"/>
                <w:color w:val="auto"/>
              </w:rPr>
              <w:t>1,674</w:t>
            </w: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alibri" w:cs="Calibri" w:eastAsia="Calibri" w:hAnsi="Calibri"/>
                <w:sz w:val="18"/>
                <w:szCs w:val="18"/>
                <w:color w:val="auto"/>
              </w:rPr>
              <w:t>1,647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auto"/>
              </w:rPr>
              <w:t>1,639</w:t>
            </w:r>
          </w:p>
        </w:tc>
        <w:tc>
          <w:tcPr>
            <w:tcW w:w="0" w:type="dxa"/>
            <w:vAlign w:val="bottom"/>
          </w:tcPr>
          <w:p>
            <w:pPr>
              <w:spacing w:after="0"/>
              <w:rPr>
                <w:sz w:val="1"/>
                <w:szCs w:val="1"/>
                <w:color w:val="auto"/>
              </w:rPr>
            </w:pPr>
          </w:p>
        </w:tc>
      </w:tr>
      <w:tr>
        <w:trPr>
          <w:trHeight w:val="23"/>
        </w:trPr>
        <w:tc>
          <w:tcPr>
            <w:tcW w:w="6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Calibri" w:cs="Calibri" w:eastAsia="Calibri" w:hAnsi="Calibri"/>
          <w:sz w:val="16"/>
          <w:szCs w:val="16"/>
          <w:color w:val="auto"/>
        </w:rPr>
        <w:t>Heatng degree days for prior periods have been recalculated using the current period customer mix.</w:t>
      </w:r>
    </w:p>
    <w:sectPr>
      <w:pgSz w:w="11900" w:h="16838" w:orient="portrait"/>
      <w:cols w:equalWidth="0" w:num="1">
        <w:col w:w="11240"/>
      </w:cols>
      <w:pgMar w:left="320" w:top="12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99"/>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lvl w:ilvl="1">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bullet"/>
      <w:start w:val="1"/>
    </w:lvl>
  </w:abstractNum>
  <w:abstractNum w:abstractNumId="8">
    <w:nsid w:val="109CF92E"/>
    <w:multiLevelType w:val="hybridMultilevel"/>
    <w:lvl w:ilvl="0">
      <w:lvlJc w:val="left"/>
      <w:lvlText w:val="2"/>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2025-02-26T07:14:57Z</dcterms:created>
  <dcterms:modified xsi:type="dcterms:W3CDTF">2025-02-26T07:14:57Z</dcterms:modified>
</cp:coreProperties>
</file>