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99567ds3asr.htm"/>
        <w:bookmarkStart w:id="1" w:name="ksd899567ds3asr"/>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November 28, 2023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38"/>
        </w:rPr>
      </w:pPr>
      <w:r>
        <w:rPr>
          <w:rFonts w:ascii="Times New Roman" w:hAnsi="Times New Roman"/>
          <w:b/>
          <w:sz w:val="38"/>
        </w:rPr>
        <w:t xml:space="preserve">Southwest Gas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81-3881866</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38"/>
        </w:rPr>
      </w:pPr>
      <w:r>
        <w:rPr>
          <w:rFonts w:ascii="Times New Roman" w:hAnsi="Times New Roman"/>
          <w:b/>
          <w:sz w:val="38"/>
        </w:rPr>
        <w:t xml:space="preserve">Southwest Gas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California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88-0085720</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8360 S. Durango Drive </w:t>
      </w:r>
    </w:p>
    <w:p>
      <w:pPr>
        <w:pStyle w:val="TextBody"/>
        <w:bidi w:val="0"/>
        <w:spacing w:before="0" w:after="0"/>
        <w:jc w:val="center"/>
        <w:rPr>
          <w:rFonts w:ascii="Times New Roman" w:hAnsi="Times New Roman"/>
          <w:b/>
          <w:sz w:val="16"/>
        </w:rPr>
      </w:pPr>
      <w:r>
        <w:rPr>
          <w:rFonts w:ascii="Times New Roman" w:hAnsi="Times New Roman"/>
          <w:b/>
          <w:sz w:val="16"/>
        </w:rPr>
        <w:t xml:space="preserve">P.O. Box 98510 </w:t>
      </w:r>
    </w:p>
    <w:p>
      <w:pPr>
        <w:pStyle w:val="TextBody"/>
        <w:bidi w:val="0"/>
        <w:spacing w:before="0" w:after="0"/>
        <w:jc w:val="center"/>
        <w:rPr>
          <w:rFonts w:ascii="Times New Roman" w:hAnsi="Times New Roman"/>
          <w:b/>
          <w:sz w:val="16"/>
        </w:rPr>
      </w:pPr>
      <w:r>
        <w:rPr>
          <w:rFonts w:ascii="Times New Roman" w:hAnsi="Times New Roman"/>
          <w:b/>
          <w:sz w:val="16"/>
        </w:rPr>
        <w:t xml:space="preserve">Las Vegas, Nevada 89193-8510 </w:t>
      </w:r>
    </w:p>
    <w:p>
      <w:pPr>
        <w:pStyle w:val="TextBody"/>
        <w:bidi w:val="0"/>
        <w:spacing w:before="0" w:after="0"/>
        <w:jc w:val="center"/>
        <w:rPr>
          <w:rFonts w:ascii="Times New Roman" w:hAnsi="Times New Roman"/>
          <w:b/>
          <w:sz w:val="16"/>
        </w:rPr>
      </w:pPr>
      <w:r>
        <w:rPr>
          <w:rFonts w:ascii="Times New Roman" w:hAnsi="Times New Roman"/>
          <w:b/>
          <w:sz w:val="16"/>
        </w:rPr>
        <w:t xml:space="preserve">(702) 876-7237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Robert J. Stefani </w:t>
      </w:r>
    </w:p>
    <w:p>
      <w:pPr>
        <w:pStyle w:val="TextBody"/>
        <w:bidi w:val="0"/>
        <w:spacing w:before="0" w:after="0"/>
        <w:jc w:val="center"/>
        <w:rPr>
          <w:rFonts w:ascii="Times New Roman" w:hAnsi="Times New Roman"/>
          <w:b/>
          <w:sz w:val="16"/>
        </w:rPr>
      </w:pPr>
      <w:r>
        <w:rPr>
          <w:rFonts w:ascii="Times New Roman" w:hAnsi="Times New Roman"/>
          <w:b/>
          <w:sz w:val="16"/>
        </w:rPr>
        <w:t xml:space="preserve">Senior Vice President, Chief Financial Officer </w:t>
      </w:r>
    </w:p>
    <w:p>
      <w:pPr>
        <w:pStyle w:val="TextBody"/>
        <w:bidi w:val="0"/>
        <w:spacing w:before="0" w:after="0"/>
        <w:jc w:val="center"/>
        <w:rPr>
          <w:rFonts w:ascii="Times New Roman" w:hAnsi="Times New Roman"/>
          <w:b/>
          <w:sz w:val="16"/>
        </w:rPr>
      </w:pPr>
      <w:r>
        <w:rPr>
          <w:rFonts w:ascii="Times New Roman" w:hAnsi="Times New Roman"/>
          <w:b/>
          <w:sz w:val="16"/>
        </w:rPr>
        <w:t xml:space="preserve">Southwest Gas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8360 S. Durango Drive </w:t>
      </w:r>
    </w:p>
    <w:p>
      <w:pPr>
        <w:pStyle w:val="TextBody"/>
        <w:bidi w:val="0"/>
        <w:spacing w:before="0" w:after="0"/>
        <w:jc w:val="center"/>
        <w:rPr>
          <w:rFonts w:ascii="Times New Roman" w:hAnsi="Times New Roman"/>
          <w:b/>
          <w:sz w:val="16"/>
        </w:rPr>
      </w:pPr>
      <w:r>
        <w:rPr>
          <w:rFonts w:ascii="Times New Roman" w:hAnsi="Times New Roman"/>
          <w:b/>
          <w:sz w:val="16"/>
        </w:rPr>
        <w:t xml:space="preserve">P.O. Box 98510 </w:t>
      </w:r>
    </w:p>
    <w:p>
      <w:pPr>
        <w:pStyle w:val="TextBody"/>
        <w:bidi w:val="0"/>
        <w:spacing w:before="0" w:after="0"/>
        <w:jc w:val="center"/>
        <w:rPr>
          <w:rFonts w:ascii="Times New Roman" w:hAnsi="Times New Roman"/>
          <w:b/>
          <w:sz w:val="16"/>
        </w:rPr>
      </w:pPr>
      <w:r>
        <w:rPr>
          <w:rFonts w:ascii="Times New Roman" w:hAnsi="Times New Roman"/>
          <w:b/>
          <w:sz w:val="16"/>
        </w:rPr>
        <w:t xml:space="preserve">Las Vegas, Nevada 89193-8510 </w:t>
      </w:r>
    </w:p>
    <w:p>
      <w:pPr>
        <w:pStyle w:val="TextBody"/>
        <w:bidi w:val="0"/>
        <w:spacing w:before="0" w:after="0"/>
        <w:jc w:val="center"/>
        <w:rPr>
          <w:rFonts w:ascii="Times New Roman" w:hAnsi="Times New Roman"/>
          <w:b/>
          <w:sz w:val="16"/>
        </w:rPr>
      </w:pPr>
      <w:r>
        <w:rPr>
          <w:rFonts w:ascii="Times New Roman" w:hAnsi="Times New Roman"/>
          <w:b/>
          <w:sz w:val="16"/>
        </w:rPr>
        <w:t xml:space="preserve">(702) 876-7237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80" w:after="0"/>
        <w:jc w:val="center"/>
        <w:rPr>
          <w:rFonts w:ascii="Times New Roman" w:hAnsi="Times New Roman"/>
          <w:b/>
          <w:sz w:val="16"/>
        </w:rPr>
      </w:pPr>
      <w:r>
        <w:rPr>
          <w:rFonts w:ascii="Times New Roman" w:hAnsi="Times New Roman"/>
          <w:b/>
          <w:sz w:val="16"/>
        </w:rPr>
        <w:t xml:space="preserve">Brandon C. Parris, Esq. </w:t>
      </w:r>
    </w:p>
    <w:p>
      <w:pPr>
        <w:pStyle w:val="TextBody"/>
        <w:bidi w:val="0"/>
        <w:spacing w:before="0" w:after="0"/>
        <w:jc w:val="center"/>
        <w:rPr>
          <w:rFonts w:ascii="Times New Roman" w:hAnsi="Times New Roman"/>
          <w:b/>
          <w:sz w:val="16"/>
        </w:rPr>
      </w:pPr>
      <w:r>
        <w:rPr>
          <w:rFonts w:ascii="Times New Roman" w:hAnsi="Times New Roman"/>
          <w:b/>
          <w:sz w:val="16"/>
        </w:rPr>
        <w:t xml:space="preserve">R. John Hensley, Esq. </w:t>
      </w:r>
    </w:p>
    <w:p>
      <w:pPr>
        <w:pStyle w:val="TextBody"/>
        <w:bidi w:val="0"/>
        <w:spacing w:before="0" w:after="0"/>
        <w:jc w:val="center"/>
        <w:rPr>
          <w:rFonts w:ascii="Times New Roman" w:hAnsi="Times New Roman"/>
          <w:b/>
          <w:sz w:val="16"/>
        </w:rPr>
      </w:pPr>
      <w:r>
        <w:rPr>
          <w:rFonts w:ascii="Times New Roman" w:hAnsi="Times New Roman"/>
          <w:b/>
          <w:sz w:val="16"/>
        </w:rPr>
        <w:t xml:space="preserve">Morrison &amp; Foerster LLP </w:t>
      </w:r>
    </w:p>
    <w:p>
      <w:pPr>
        <w:pStyle w:val="TextBody"/>
        <w:bidi w:val="0"/>
        <w:spacing w:before="0" w:after="0"/>
        <w:jc w:val="center"/>
        <w:rPr>
          <w:rFonts w:ascii="Times New Roman" w:hAnsi="Times New Roman"/>
          <w:b/>
          <w:sz w:val="16"/>
        </w:rPr>
      </w:pPr>
      <w:r>
        <w:rPr>
          <w:rFonts w:ascii="Times New Roman" w:hAnsi="Times New Roman"/>
          <w:b/>
          <w:sz w:val="16"/>
        </w:rPr>
        <w:t xml:space="preserve">425 Market Street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94105 </w:t>
      </w:r>
    </w:p>
    <w:p>
      <w:pPr>
        <w:pStyle w:val="TextBody"/>
        <w:bidi w:val="0"/>
        <w:spacing w:before="0" w:after="0"/>
        <w:jc w:val="center"/>
        <w:rPr>
          <w:rFonts w:ascii="Times New Roman" w:hAnsi="Times New Roman"/>
          <w:b/>
          <w:sz w:val="16"/>
        </w:rPr>
      </w:pPr>
      <w:r>
        <w:rPr>
          <w:rFonts w:ascii="Times New Roman" w:hAnsi="Times New Roman"/>
          <w:b/>
          <w:sz w:val="16"/>
        </w:rPr>
        <w:t xml:space="preserve">(415) 268-7500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60" w:after="0"/>
        <w:jc w:val="left"/>
        <w:rPr>
          <w:rFonts w:ascii="Times New Roman" w:hAnsi="Times New Roman"/>
          <w:sz w:val="16"/>
        </w:rPr>
      </w:pPr>
      <w:r>
        <w:rPr>
          <w:rFonts w:ascii="Times New Roman" w:hAnsi="Times New Roman"/>
          <w:sz w:val="16"/>
        </w:rPr>
        <w:t xml:space="preserve">Southwest Gas Holdings,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7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7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sz w:val="16"/>
        </w:rPr>
      </w:pPr>
      <w:r>
        <w:rPr>
          <w:rFonts w:ascii="Times New Roman" w:hAnsi="Times New Roman"/>
          <w:sz w:val="16"/>
        </w:rPr>
        <w:t xml:space="preserve">Southwest Gas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7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7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280" cy="11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280" cy="111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 cy="552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 cy="552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Southwest Gas Holdings, Inc. </w:t>
      </w:r>
    </w:p>
    <w:p>
      <w:pPr>
        <w:pStyle w:val="TextBody"/>
        <w:bidi w:val="0"/>
        <w:spacing w:before="0" w:after="0"/>
        <w:jc w:val="center"/>
        <w:rPr>
          <w:rFonts w:ascii="Times New Roman" w:hAnsi="Times New Roman"/>
          <w:b/>
          <w:sz w:val="48"/>
        </w:rPr>
      </w:pPr>
      <w:r>
        <w:rPr>
          <w:rFonts w:ascii="Times New Roman" w:hAnsi="Times New Roman"/>
          <w:b/>
          <w:sz w:val="48"/>
        </w:rPr>
        <w:t xml:space="preserve">Southwest Gas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Guarantees of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6"/>
        </w:rPr>
      </w:pPr>
      <w:r>
        <w:rPr>
          <w:rFonts w:ascii="Times New Roman" w:hAnsi="Times New Roman"/>
          <w:sz w:val="16"/>
        </w:rPr>
        <w:t xml:space="preserve">Southwest Gas Holdings, Inc. may offer and sell any combination of the following securities from time to time in amounts, at prices and on terms that will be determined at the time of any such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2"/>
        <w:gridCol w:w="94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debt securities, which may or may not be guaranteed by one or more of its directly or indirectly wholly owned subsidiaries if indicated in the relevant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guarantees of debt securities issued by Southwest Gas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4"/>
        <w:gridCol w:w="102"/>
        <w:gridCol w:w="9492"/>
      </w:tblGrid>
      <w:tr>
        <w:trPr/>
        <w:tc>
          <w:tcPr>
            <w:tcW w:w="40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warrants to purchase common stock, preferred stock or depositary shares issued by Southwest Gas Holdings, Inc. or debt securities issued by Southwest Gas Holdings, Inc. or Southwest Gas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3"/>
        <w:gridCol w:w="102"/>
        <w:gridCol w:w="9492"/>
      </w:tblGrid>
      <w:tr>
        <w:trPr/>
        <w:tc>
          <w:tcPr>
            <w:tcW w:w="40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102"/>
        <w:gridCol w:w="94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rights. </w:t>
            </w:r>
          </w:p>
        </w:tc>
      </w:tr>
    </w:tbl>
    <w:p>
      <w:pPr>
        <w:pStyle w:val="TextBody"/>
        <w:bidi w:val="0"/>
        <w:spacing w:before="80" w:after="0"/>
        <w:jc w:val="left"/>
        <w:rPr>
          <w:rFonts w:ascii="Times New Roman" w:hAnsi="Times New Roman"/>
          <w:sz w:val="16"/>
        </w:rPr>
      </w:pPr>
      <w:r>
        <w:rPr>
          <w:rFonts w:ascii="Times New Roman" w:hAnsi="Times New Roman"/>
          <w:sz w:val="16"/>
        </w:rPr>
        <w:t xml:space="preserve">Southwest Gas Corporation may offer and sell any combination of the following securities from time to time in amounts, at prices and on terms that will be determined at the time of any such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debt securities, which may or may not be guaranteed by Southwest Gas Holdings, Inc. and may or may not be guaranteed by one or more of its directly or indirectly wholly owned subsidiaries if indicated in the relevant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guarantees of debt securities issued by Southwest Gas Holdings, Inc. or by one or more of its directly or indirectly wholly owned subsidiaries if indicated in the relevant prospectus supplement. </w:t>
            </w:r>
          </w:p>
        </w:tc>
      </w:tr>
    </w:tbl>
    <w:p>
      <w:pPr>
        <w:pStyle w:val="TextBody"/>
        <w:bidi w:val="0"/>
        <w:spacing w:before="120" w:after="0"/>
        <w:jc w:val="left"/>
        <w:rPr>
          <w:rFonts w:ascii="Times New Roman" w:hAnsi="Times New Roman"/>
          <w:sz w:val="16"/>
        </w:rPr>
      </w:pPr>
      <w:r>
        <w:rPr>
          <w:rFonts w:ascii="Times New Roman" w:hAnsi="Times New Roman"/>
          <w:sz w:val="16"/>
        </w:rPr>
        <w:t xml:space="preserve">This prospectus describes some of the general terms that may apply to these securities. We will provide the specific terms of these securities, including their offering prices, in prospectus supplements to this prospectus. Any prospectus supplements may also add, update or change information contained in this prospectus. You should carefully read both this prospectus and any prospectus supplement before you invest. </w:t>
      </w:r>
    </w:p>
    <w:p>
      <w:pPr>
        <w:pStyle w:val="TextBody"/>
        <w:bidi w:val="0"/>
        <w:spacing w:before="120" w:after="0"/>
        <w:jc w:val="left"/>
        <w:rPr>
          <w:rFonts w:ascii="Times New Roman" w:hAnsi="Times New Roman"/>
          <w:sz w:val="16"/>
        </w:rPr>
      </w:pPr>
      <w:r>
        <w:rPr>
          <w:rFonts w:ascii="Times New Roman" w:hAnsi="Times New Roman"/>
          <w:sz w:val="16"/>
        </w:rPr>
        <w:t xml:space="preserve">Southwest Gas Holdings, Inc.s common stock is listed on the New York Stock Exchange under the symbol SWX. On November 27, 2023, the reported last sale price on the New York Stock Exchange for our common stock was $60.04 per share. </w:t>
      </w:r>
    </w:p>
    <w:p>
      <w:pPr>
        <w:pStyle w:val="TextBody"/>
        <w:bidi w:val="0"/>
        <w:spacing w:before="120" w:after="0"/>
        <w:jc w:val="left"/>
        <w:rPr>
          <w:rFonts w:ascii="Times New Roman" w:hAnsi="Times New Roman"/>
          <w:sz w:val="16"/>
        </w:rPr>
      </w:pPr>
      <w:r>
        <w:rPr>
          <w:rFonts w:ascii="Times New Roman" w:hAnsi="Times New Roman"/>
          <w:sz w:val="16"/>
        </w:rPr>
        <w:t xml:space="preserve">These securities may be offered and sold to or through one or more underwriters, dealers and agents or directly to purchasers or through a combination of these methods, on a continuous or delayed basis. You can find additional information about our plan of distribution for the securities under the heading Plan of Distribution beginning on page 25 of this prospectus. We will also describe the plan of distribution for any particular offering of these securities in the prospectus supplement. This prospectus may not be used to sell our securities unless it is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b/>
          <w:sz w:val="18"/>
        </w:rPr>
      </w:pPr>
      <w:r>
        <w:rPr>
          <w:rFonts w:ascii="Times New Roman" w:hAnsi="Times New Roman"/>
          <w:b/>
          <w:sz w:val="18"/>
        </w:rPr>
        <w:t xml:space="preserve">Investing in our securities involves risks. You should consider the risk factors described in any accompanying prospectus supplement or any documents we incorporate by reference.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is November 28,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Caption</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89956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2">
              <w:r>
                <w:rPr>
                  <w:rStyle w:val="InternetLink"/>
                  <w:rFonts w:ascii="Times New Roman" w:hAnsi="Times New Roman"/>
                  <w:sz w:val="20"/>
                </w:rPr>
                <w:t>CAUTIONARY STATEMENT REGARDING 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3">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8">
              <w:r>
                <w:rPr>
                  <w:rStyle w:val="InternetLink"/>
                  <w:rFonts w:ascii="Times New Roman" w:hAnsi="Times New Roman"/>
                  <w:sz w:val="20"/>
                </w:rPr>
                <w:t>DESCRIPTION OF GUARANTEES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9">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2">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899567_17">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in any accompanying prospectus supplement or in any free writing prospectus filed by us with the Securities and Exchange Commission (the SEC). We have not authorized any other person to provide you with different information. If anyone provides you with different or inconsistent information, you should not rely on it. You should assume that the information appearing in this prospectus and any prospectus supplement or in any such free writing prospectus is accurate as of the dates on their covers. Our business, financial condition, results of operations and prospects may have changed since those dates. Any information contained on or accessible through our website is not incorporated herein and does not constitute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89956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under the Securities Act of 1933, as amended (the Securities Act), utilizing a shelf registration process. Under this shelf registration process, we may, from time to time, sell in one or more offerings any of our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 If there is any inconsistency between the information in this prospectus and a prospectus supplement, you should rely on the information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both this prospectus and any prospectus supplement, together with additional information described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the context indicates otherwise, the words and terms Southwest Gas Holdings, the Company, we, our, ours and us refer to Southwest Gas Holdings, Inc., together with our subsidiaries. The term Southwest Gas Holdings, Inc. refers to Southwest Gas Holdings, Inc. without its consolidated subsidiaries. The term Southwest refers to our subsidiary, Southwest Gas Corporation, either on a standalone basis or together with its consolidated subsidiaries, as the context requires. The term Centuri refers to Centuri Group, Inc., a wholly owned subsidiary of Southwest Gas Holdings, Inc. that represents its utility infrastructure services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899567_2"/>
      <w:bookmarkEnd w:id="4"/>
      <w:r>
        <w:rPr>
          <w:rFonts w:ascii="Times New Roman" w:hAnsi="Times New Roman"/>
          <w:b/>
          <w:sz w:val="20"/>
        </w:rPr>
        <w:t xml:space="preserve">CAUTIONARY STATEMENT REGARDING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incorporate by reference herein and therein contain forward-looking statements within the meaning of the Private Securities Litigation Reform Act of 1995, Section 27A of the Securities Act or Section 21E of the Securities Exchange Act of 1934, as amended (the Exchange Act). All statements other than statements of historical fact included or incorporated by reference in this prospectus are forward-looking statements, including, without limitation, statements regarding the Companys and Southwests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plans to separate from Centuri by means of one or more disposition transactions, including by way of a pro rata distribution to our stockholders, one or more distributions in exchange for our common stock or other securities, a sell-down of shares of our common stock or any combination thereof, or an initial public offering by Centuri followed by one or more disposition transactions, the intended tax treatment of any separation of Centuri, those regarding operating margin patterns, customer growth, the composition of our customer base, price volatility, seasonal patterns, the ability to pay debt, Southwests company-owned life insurance (COLI) strategy, the magnitude of future acquisition or divestiture purchase price true-ups or post-closing payments 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Vintage Steel Pipe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Purchased Gas Account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an at-the-market equity program or otherwise, future dividends or increases and the board of directors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statements regarding any strategic review, optimization opportunity identification, benchmarking, and assessment, including the timing and costs of any such processes, and statements regarding pending approvals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 number of important factors affecting the business and financial results of the Company and Southwest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officials or otherwise, including impacts on employment in our territories, the health impacts to our customers and employees, the ability to collect on customer accounts due to the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separation of Centuri, the nature and timing of the separation and impacts on our consolidated earnings or stock price as a result,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or other intangible assets, and optimization initiatives, including costs related thereto. In addition, the Company can provide no assurance that its discussions regarding certain trends or plans relating to its financing and operating expenses will continue, proceed as planned, or cease to continue, or fail to be alleviated, in future periods. Additional factors that could cause actual results to differ and that you should consider prior to investing in our securities are discussed under the heading Risk Factors and in other sections of this prospectus and our current and periodic reports, and other filings, filed from time to time with the SEC that are incorporated by reference into this prospectus. See Incorporation by Reference and Where You Can Find More Information below for information about how to obtain copies of those documents. All forward-looking statements in this prospectus and the documents incorporated by reference 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899567_3"/>
      <w:bookmarkEnd w:id="5"/>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Southwest Gas Holdings, Inc., a Delaware corporation, is a holding company headquartered in Las Vegas, Nevada. Through its wholly owned subsidiaries, Southwest and Centuri, the Company operates in two business segments: natural gas distribution and utility infrastructure services. </w:t>
      </w:r>
    </w:p>
    <w:p>
      <w:pPr>
        <w:pStyle w:val="TextBody"/>
        <w:bidi w:val="0"/>
        <w:spacing w:before="240" w:after="0"/>
        <w:jc w:val="left"/>
        <w:rPr>
          <w:rFonts w:ascii="Times New Roman" w:hAnsi="Times New Roman"/>
          <w:sz w:val="20"/>
        </w:rPr>
      </w:pPr>
      <w:r>
        <w:rPr>
          <w:rFonts w:ascii="Times New Roman" w:hAnsi="Times New Roman"/>
          <w:sz w:val="20"/>
        </w:rPr>
        <w:t xml:space="preserve">Southwest, incorporated in March 1931 under the laws of the state of California, provides regulated natural gas distribution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 </w:t>
      </w:r>
    </w:p>
    <w:p>
      <w:pPr>
        <w:pStyle w:val="TextBody"/>
        <w:bidi w:val="0"/>
        <w:spacing w:before="240" w:after="0"/>
        <w:jc w:val="left"/>
        <w:rPr>
          <w:rFonts w:ascii="Times New Roman" w:hAnsi="Times New Roman"/>
          <w:sz w:val="20"/>
        </w:rPr>
      </w:pPr>
      <w:r>
        <w:rPr>
          <w:rFonts w:ascii="Times New Roman" w:hAnsi="Times New Roman"/>
          <w:sz w:val="20"/>
        </w:rPr>
        <w:t xml:space="preserve">Southwest is subject to regulation by the Arizona Corporation Commission, the Public Utilities Commission of Nevada, and the California Public Utilities Commission (the CPUC). The CPUC regulates the issuance of all securities by Southwest, with the exception of short-term borrowings. Certain of the Companys and Southwests accounting practices, transmission facilities and rates are subject to regulation by the Federal Energy Regulatory Commission (the FERC). Centuri is not regulated by the state utilities commissions or by the FERC in any of its operating areas. </w:t>
      </w:r>
    </w:p>
    <w:p>
      <w:pPr>
        <w:pStyle w:val="TextBody"/>
        <w:bidi w:val="0"/>
        <w:spacing w:before="240" w:after="0"/>
        <w:jc w:val="left"/>
        <w:rPr>
          <w:rFonts w:ascii="Times New Roman" w:hAnsi="Times New Roman"/>
          <w:sz w:val="20"/>
        </w:rPr>
      </w:pPr>
      <w:r>
        <w:rPr>
          <w:rFonts w:ascii="Times New Roman" w:hAnsi="Times New Roman"/>
          <w:sz w:val="20"/>
        </w:rPr>
        <w:t xml:space="preserve">Centuri is a strategic utility infrastructure services company dedicated to partnering with North Americas electric and gas providers to build and maintain the energy network that powers millions of homes across the United States and Canada. Centuris skilled workforce delivers a comprehensive and integrated array of solutions through its primary operating companies: NPL Construction Co., NPL Canada Ltd., New England Utility Constructors, Inc., Linetec Services, LLC, and Riggs Distler &amp; Company, Inc. Centuri has strategically expanded its geographic reach and service offerings through organic and inorganic growth to better meet diverse customer needs across both electric and gas infrastructure, including growing customer attention to achieving environmental objectives. On December 15, 2022, we announced that our board of directors (the Board) had determined to separate Centuri from Southwest Gas Holdings into a standalone, independent public company. On September 22, 2023, we announced that Centuri Holdings, Inc. (Centuri Holdings) had confidentially submitted a draft registration statement with respect to an initial public offering of its shares of common stock (the Centuri IPO). We remain committed to separating Centuri and continue to assess the value of a potential tax-free spin-off of Centuri, either following, or in lieu of, a potential initial public offering by Centuri. Following a Centuri IPO, if one occurs, we intend to maintain the flexibility to dispose of our remaining Centuri interests in a number of ways, including through a spin-off transaction, open market sales of Centuri Holdings common stock or an exchange offer of our common stock for Centuri Holdings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corporate headquarters is located at 8360 S. Durango Drive, P.O. Box 98510, Las Vegas, Nevada 89150-8510, telephone number (702) 876-7237.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899567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subject to certain risks and uncertainties. You should carefully consider and evaluate all of the information included and incorporated by reference in this prospectus and any applicable prospectus supplement, including the risk factors incorporated by reference to our Annual Report on Form 10-K for the year ended December 31, 2022, as well as any risk factors we may describe in any subsequent periodic reports or information we file with the SEC. It is possible that our business, financial condition, liquidity or results of operations could be materially adversely affected by any of these risks. </w:t>
      </w:r>
    </w:p>
    <w:p>
      <w:pPr>
        <w:pStyle w:val="TextBody"/>
        <w:bidi w:val="0"/>
        <w:spacing w:before="480" w:after="0"/>
        <w:jc w:val="center"/>
        <w:rPr>
          <w:rFonts w:ascii="Times New Roman" w:hAnsi="Times New Roman"/>
          <w:b/>
          <w:sz w:val="20"/>
        </w:rPr>
      </w:pPr>
      <w:bookmarkStart w:id="7" w:name="tx899567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or other offering material, we intend to use the net proceeds from the sale of securities for general corporate purposes, which may include the following: refunding, repurchasing, retiring upon maturity or redeeming existing debt; funding for working capital; capital expenditures; repurchases of our capital stock; and strategic investments and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899567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capital stock of Southwest Gas Holdings, Inc. consists of (1) 120,000,000 shares of Southwest Gas Holdings, Inc. common stock, with a $1.00 par value, (2) 5,000,000 shares of preferred stock, without par value, and (3) 2,000,000 shares of preference stock, with a $20.00 par value. As of November 17, 2023, there were issued and outstanding 71,521,131 shares of Southwest Gas Holdings, Inc. common stock and no shares of Southwest Gas Holdings, Inc. preferred stock or preference stock. No other classes of capital stock are authorized under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Southwest Gas Holdings, Inc.s capital stock is only a summary and is qualified in its entirety by reference to our certificate of incorporation, bylaws and the Tax-Free Spin Protection Plan, dated as of November 5, 2023 (as the same may be amended from time to time, the Plan), between the Company and Equiniti Trust Company, LLC, as rights agent. Therefore, you should read carefully the more detailed provisions of our certificate of incorporation, bylaws and the Plan, copies of which are incorporated by reference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one class of common stock. All holders of our common stock are entitled to the same rights and privileges, as described below. </w:t>
      </w:r>
    </w:p>
    <w:p>
      <w:pPr>
        <w:pStyle w:val="TextBody"/>
        <w:bidi w:val="0"/>
        <w:spacing w:before="24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Except as otherwise provided by law, each holder of common stock is entitled to one vote per share on each matter submitted to a vote at a meeting of stockholders, including the election of directors. </w:t>
      </w:r>
    </w:p>
    <w:p>
      <w:pPr>
        <w:pStyle w:val="TextBody"/>
        <w:bidi w:val="0"/>
        <w:spacing w:before="240" w:after="0"/>
        <w:jc w:val="left"/>
        <w:rPr>
          <w:rFonts w:ascii="Times New Roman" w:hAnsi="Times New Roman"/>
          <w:sz w:val="20"/>
        </w:rPr>
      </w:pPr>
      <w:r>
        <w:rPr>
          <w:rFonts w:ascii="Times New Roman" w:hAnsi="Times New Roman"/>
          <w:i/>
          <w:sz w:val="20"/>
        </w:rPr>
        <w:t xml:space="preserve">Dividends. </w:t>
      </w:r>
      <w:r>
        <w:rPr>
          <w:rFonts w:ascii="Times New Roman" w:hAnsi="Times New Roman"/>
          <w:sz w:val="20"/>
        </w:rPr>
        <w:t xml:space="preserve">The holders of Southwest Gas Holdings, Inc. common stock are entitled to receive such dividends as the Board may from time to time declare, subject to any rights of holders of outstanding shares of Southwest Gas Holdings, Inc. preferred stock. </w:t>
      </w:r>
    </w:p>
    <w:p>
      <w:pPr>
        <w:pStyle w:val="TextBody"/>
        <w:bidi w:val="0"/>
        <w:spacing w:before="240" w:after="0"/>
        <w:jc w:val="left"/>
        <w:rPr>
          <w:rFonts w:ascii="Times New Roman" w:hAnsi="Times New Roman"/>
          <w:sz w:val="20"/>
        </w:rPr>
      </w:pPr>
      <w:r>
        <w:rPr>
          <w:rFonts w:ascii="Times New Roman" w:hAnsi="Times New Roman"/>
          <w:i/>
          <w:sz w:val="20"/>
        </w:rPr>
        <w:t xml:space="preserve">Liquidation. </w:t>
      </w:r>
      <w:r>
        <w:rPr>
          <w:rFonts w:ascii="Times New Roman" w:hAnsi="Times New Roman"/>
          <w:sz w:val="20"/>
        </w:rPr>
        <w:t xml:space="preserve">In the event of any liquidation, dissolution or winding up of Southwest Gas Holdings, Inc., whether voluntary or involuntary, the holders of shares of Southwest Gas Holdings, Inc. common stock, subject to any rights of the holders of outstanding shares of Southwest Gas Holdings, Inc. preferred stock, are entitled to receive any remaining assets of Southwest Gas Holdings, Inc. after the discharge of its liabilities. </w:t>
      </w:r>
    </w:p>
    <w:p>
      <w:pPr>
        <w:pStyle w:val="TextBody"/>
        <w:bidi w:val="0"/>
        <w:spacing w:before="240" w:after="0"/>
        <w:jc w:val="left"/>
        <w:rPr>
          <w:rFonts w:ascii="Times New Roman" w:hAnsi="Times New Roman"/>
          <w:sz w:val="20"/>
        </w:rPr>
      </w:pPr>
      <w:r>
        <w:rPr>
          <w:rFonts w:ascii="Times New Roman" w:hAnsi="Times New Roman"/>
          <w:i/>
          <w:sz w:val="20"/>
        </w:rPr>
        <w:t>Rights and Preferences</w:t>
      </w:r>
      <w:r>
        <w:rPr>
          <w:rFonts w:ascii="Times New Roman" w:hAnsi="Times New Roman"/>
          <w:sz w:val="20"/>
        </w:rPr>
        <w:t xml:space="preserve">. Holders of Southwest Gas Holdings, Inc. common stock are not entitled to preemptive rights to subscribe for, or purchase any part of, any new or additional issue of stock or securities convertible into stock. Southwest Gas Holdings, Inc. common stock does not contain any redemption provisions or conversion rights and is not liable to assessment or further call.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Purchase Rights </w:t>
      </w:r>
    </w:p>
    <w:p>
      <w:pPr>
        <w:pStyle w:val="TextBody"/>
        <w:bidi w:val="0"/>
        <w:spacing w:before="120" w:after="0"/>
        <w:jc w:val="left"/>
        <w:rPr>
          <w:rFonts w:ascii="Times New Roman" w:hAnsi="Times New Roman"/>
          <w:sz w:val="20"/>
        </w:rPr>
      </w:pPr>
      <w:r>
        <w:rPr>
          <w:rFonts w:ascii="Times New Roman" w:hAnsi="Times New Roman"/>
          <w:sz w:val="20"/>
        </w:rPr>
        <w:t xml:space="preserve">On November 3, 2023, the Board authorized a dividend of one preferred stock purchase right (a Right) for each outstanding share of Southwest Gas Holdings, Inc. common stock, which was paid to holders of record of Southwest Gas Holdings, Inc. common stock as of 5:00 P.M., New York City time, on November 17, 2023 (the Record Date). The description and terms of the Rights are set forth in the Plan. Each Right entitles the registered holder to purchase from the Company one ten-thousandth (a Unit) of a share of Series A Junior Participating Preferred Stock, no par value per share, of the Company (the Series A Preferred), at a purchase price of $300.00 per one ten-thousandth of a share of Series A Preferred (the Purchase Price),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Plan is intended to preserve the Companys ability to effectuate a separation of Centuri Holdings (the Spin-Off Transaction) that would be tax-free to the Company (the Tax-Free Status), which status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lost if certain stock purchases (including by existing or new holders in the open market) are treated as part of a plan pursuant to which one or more persons directly or indirectly acquire a 50% or greater interest in the Company (a 355 Ownership Change) within applicable time periods for purposes of Section 355(e)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i/>
          <w:sz w:val="20"/>
        </w:rPr>
        <w:t>Distribution Date</w:t>
      </w:r>
      <w:r>
        <w:rPr>
          <w:rFonts w:ascii="Times New Roman" w:hAnsi="Times New Roman"/>
          <w:sz w:val="20"/>
        </w:rPr>
        <w:t xml:space="preserve">. Initially, the Rights will be attached to all shares of Southwest Gas Holdings, Inc. common stock, and no separate certificates evidencing the Rights will be issued. Subject to certain exceptions, until the Distribution Date (as defined below), the Company will issue one Right with each new share of Southwest Gas Holdings, Inc. common stock issued after the Record Date so that all shares of Southwest Gas Holdings, Inc. common stock will have Rights attached, the Rights will be transferred with and only with Southwest Gas Holdings, Inc. common stock, and any transfer of Southwest Gas Holdings, Inc. common stock will constitute a transfer of the associated Rights. After the Distribution Date, the Rights will separate from the Southwest Gas Holdings, Inc. common stock and, as soon as practicable after the Distribution Date, separate certificates evidencing the Rights (Rights Certificates) will be mailed to holders of record of Southwest Gas Holdings, Inc. common stock as of the close of business on the Distribution Date and such separate Rights Certificates alone will evidence the Rights.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Date means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 business days after the public announcement that a person or group of affiliated or associated persons has become an Acquiring Person (as defined below) or such earlier date, as a majority of the Board becomes aware of the existence of an Acquiring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date (prior to such time as any person or group of affiliated or associated persons becomes an Acquiring Person), if any, as may be determined by the Board following the commencement of, or the first public announcement of an intention to commence, a tender offer or exchange offer the consummation of which would result in any person or group of affiliated or associated persons becoming an Acquiring Person. </w:t>
            </w:r>
          </w:p>
        </w:tc>
      </w:tr>
    </w:tbl>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Rights will not be exercisable until the Distribution Date. After the Distribution Date, each Right will be exercisable to purchase from the Company one ten-thousandth of a share of Series A Preferred for the Purchase Price. Prior to exercising their Rights, holders of Rights in that capacity have no rights as a stockholder of the Company, including the right to vote or receive dividends. </w:t>
      </w:r>
    </w:p>
    <w:p>
      <w:pPr>
        <w:pStyle w:val="TextBody"/>
        <w:bidi w:val="0"/>
        <w:spacing w:before="240" w:after="0"/>
        <w:jc w:val="left"/>
        <w:rPr>
          <w:rFonts w:ascii="Times New Roman" w:hAnsi="Times New Roman"/>
          <w:sz w:val="20"/>
        </w:rPr>
      </w:pPr>
      <w:r>
        <w:rPr>
          <w:rFonts w:ascii="Times New Roman" w:hAnsi="Times New Roman"/>
          <w:i/>
          <w:sz w:val="20"/>
        </w:rPr>
        <w:t>Consequences of a Person or Group Becoming an Acquiring Person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Flip-In Trigger</w:t>
            </w:r>
            <w:r>
              <w:rPr>
                <w:rFonts w:ascii="Times New Roman" w:hAnsi="Times New Roman"/>
                <w:sz w:val="20"/>
              </w:rPr>
              <w:t xml:space="preserve">. If any person or group becomes an Acquiring Person, each holder of a Right (other than Rights beneficially owned by an Acquiring Person, affiliates and associates of an Acquiring Person and certain transferees thereof, which Rights will thereupon become null and void) will thereafter have the right to receive upon exercise of a Right that number of shares of Southwest Gas Holdings, Inc. common stock having a market value of two times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Flip-Over Trigger</w:t>
            </w:r>
            <w:r>
              <w:rPr>
                <w:rFonts w:ascii="Times New Roman" w:hAnsi="Times New Roman"/>
                <w:sz w:val="20"/>
              </w:rPr>
              <w:t xml:space="preserve">. If, after any person or group has become an Acquiring Person, the Company is acquired in a merger, consolidation or combination or 50% or more of its consolidated assets, cash flow or earning power are transferred, proper provisions will be made so that each holder of a Right (other than Rights beneficially owned by an Acquiring Person, affiliates and associates of an Acquiring Person and certain transferees thereof, which Rights will have become null and void) will thereafter have the right to receive upon the exercise of a Right that number of shares of common stock of the person (or its parent) with whom the Company has engaged in the foregoing transaction having a market value of two times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Exchange Feature</w:t>
            </w:r>
            <w:r>
              <w:rPr>
                <w:rFonts w:ascii="Times New Roman" w:hAnsi="Times New Roman"/>
                <w:sz w:val="20"/>
              </w:rPr>
              <w:t xml:space="preserve">. At any time after any person or group becomes an Acquiring Person and prior to the earlier of one of the events described in the previous paragraph or the acquisition by an Acquiring Person of 50% or more of the outstanding shares of Southwest Gas Holdings, Inc. common stock,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may exchange the Rights (other than Rights owned by an Acquiring Person, affiliates and associates of an Acquiring Person and certain transferees thereof, which Rights will have become null and void), in whole or in part, for shares of Southwest Gas Holdings, Inc. common stock or fractions of Series A Preferred (such a share of Southwest Gas Holdings, Inc. common stock or a fraction of Series A Preferred, as applicable, an Exchange Security), at an exchange ratio of one Exchange Security per Right. </w:t>
            </w:r>
          </w:p>
        </w:tc>
      </w:tr>
    </w:tbl>
    <w:p>
      <w:pPr>
        <w:pStyle w:val="TextBody"/>
        <w:bidi w:val="0"/>
        <w:spacing w:before="240" w:after="0"/>
        <w:jc w:val="left"/>
        <w:rPr>
          <w:rFonts w:ascii="Times New Roman" w:hAnsi="Times New Roman"/>
          <w:sz w:val="20"/>
        </w:rPr>
      </w:pPr>
      <w:r>
        <w:rPr>
          <w:rFonts w:ascii="Times New Roman" w:hAnsi="Times New Roman"/>
          <w:i/>
          <w:sz w:val="20"/>
        </w:rPr>
        <w:t>Expiration</w:t>
      </w:r>
      <w:r>
        <w:rPr>
          <w:rFonts w:ascii="Times New Roman" w:hAnsi="Times New Roman"/>
          <w:sz w:val="20"/>
        </w:rPr>
        <w:t xml:space="preserve">. The Rights will expire on the earliest of (a) the close of business on the date that is two years after the date on which the Spin-Off Transaction is consummated (consistent with a presumption period for testing for a 355 Ownership Change), (b) the close of business on the date on which the Board determines to no longer pursue the Spin-Off Transaction or that the Spin-Off Transaction will not be consummated with Tax-Free Status, (c) the time at which the Rights are redeemed or exchanged pursuant to the Plan, (d) the close of business on the business day following the certification of the voting results of the Companys 2024 annual stockholders meeting, if at such meeting the approval of the Plan has not been obtained, (e) the close of business on the day that is 270 days after the date of the Plan, if the approval of the Companys stockholders has not been obtained by such date and only if as of such date the Amended and Restated Cooperation Agreement, dated as of October 24, 2022, by and among the Icahn Group (as defined in the Plan) and the Company (as it may be amended, modified, supplemented and/or amended and restated in accordance with the terms thereof from time to time) remains in effect and the Icahn Ownership Event (as defined in the Plan) has not occurred or (f) the time at which the Board determines that there is no longer a risk of a 355 Ownership Change occurring or that a 355 Ownership Change would not in any material respect adversely impact or otherwise impair the Tax-Free Status. </w:t>
      </w:r>
    </w:p>
    <w:p>
      <w:pPr>
        <w:pStyle w:val="TextBody"/>
        <w:bidi w:val="0"/>
        <w:spacing w:before="240" w:after="0"/>
        <w:jc w:val="left"/>
        <w:rPr>
          <w:rFonts w:ascii="Times New Roman" w:hAnsi="Times New Roman"/>
          <w:sz w:val="20"/>
        </w:rPr>
      </w:pPr>
      <w:r>
        <w:rPr>
          <w:rFonts w:ascii="Times New Roman" w:hAnsi="Times New Roman"/>
          <w:i/>
          <w:sz w:val="20"/>
        </w:rPr>
        <w:t>Process to Seek Exemption</w:t>
      </w:r>
      <w:r>
        <w:rPr>
          <w:rFonts w:ascii="Times New Roman" w:hAnsi="Times New Roman"/>
          <w:sz w:val="20"/>
        </w:rPr>
        <w:t xml:space="preserve">. The Plan includes procedures by which the Board will consider requests, prior to the date of public announcement that a person has become an Acquiring Person, from any person who desires to effect any acquisition of Southwest Gas Holdings, Inc. common stock that would, if consummated, result in such person beneficially owning 4.9% (9.9% in the case of a passive investor or, in the case of the Icahn Group or any member of the Icahn Group, the applicable amounts set forth in the Plan) or more of the then outstanding shares of Southwest Gas Holdings, Inc. common stock. The Board will only grant an exemption in response to an exemption request if the Board determines that the acquisition of shares of Southwest Gas Holdings, Inc. common stock by the requesting person (A) will not in any material respect adversely impact or otherwise impair the Tax-Free Status or (B) is in the best interests of the Company despite the fact that it may adversely impact in a material respect or otherwise impair the Tax-Free Status. </w:t>
      </w:r>
    </w:p>
    <w:p>
      <w:pPr>
        <w:pStyle w:val="TextBody"/>
        <w:bidi w:val="0"/>
        <w:spacing w:before="240" w:after="0"/>
        <w:jc w:val="left"/>
        <w:rPr>
          <w:rFonts w:ascii="Times New Roman" w:hAnsi="Times New Roman"/>
          <w:sz w:val="20"/>
        </w:rPr>
      </w:pPr>
      <w:r>
        <w:rPr>
          <w:rFonts w:ascii="Times New Roman" w:hAnsi="Times New Roman"/>
          <w:i/>
          <w:sz w:val="20"/>
        </w:rPr>
        <w:t>Redemption of the Rights</w:t>
      </w:r>
      <w:r>
        <w:rPr>
          <w:rFonts w:ascii="Times New Roman" w:hAnsi="Times New Roman"/>
          <w:sz w:val="20"/>
        </w:rPr>
        <w:t xml:space="preserve">. At any time before the Distribution Date, the Board may redeem the Rights in whole, but not in part, for $0.0001 per Right (the Redemption Price). The Redemption Price is payable, at the option of the Company, in cash, Southwest Gas Holdings, Inc. common stock or such other form of consideration as the Board shall determine. Immediately upon any redemption of the Rights, the right to exercise the Rights will terminate and the only right of the holders of Rights will be to receive the Redemption Price. The Redemption Price will be subject to adjustment. </w:t>
      </w:r>
    </w:p>
    <w:p>
      <w:pPr>
        <w:pStyle w:val="TextBody"/>
        <w:bidi w:val="0"/>
        <w:spacing w:before="240" w:after="0"/>
        <w:jc w:val="left"/>
        <w:rPr>
          <w:rFonts w:ascii="Times New Roman" w:hAnsi="Times New Roman"/>
          <w:sz w:val="20"/>
        </w:rPr>
      </w:pPr>
      <w:r>
        <w:rPr>
          <w:rFonts w:ascii="Times New Roman" w:hAnsi="Times New Roman"/>
          <w:i/>
          <w:sz w:val="20"/>
        </w:rPr>
        <w:t>Amendment</w:t>
      </w:r>
      <w:r>
        <w:rPr>
          <w:rFonts w:ascii="Times New Roman" w:hAnsi="Times New Roman"/>
          <w:sz w:val="20"/>
        </w:rPr>
        <w:t xml:space="preserve">. For so long as the Rights are then redeemable, the Company may amend the Plan in any manner. After the Rights are no longer redeemable, the Company may amend the Plan in any manner that does not adversely affect the interests of holders of the Rights (other than an Acquiring Person, affiliates and associates of an Acquiring Person and certain transferees thereof). </w:t>
      </w:r>
    </w:p>
    <w:p>
      <w:pPr>
        <w:pStyle w:val="TextBody"/>
        <w:bidi w:val="0"/>
        <w:spacing w:before="240" w:after="0"/>
        <w:jc w:val="left"/>
        <w:rPr>
          <w:rFonts w:ascii="Times New Roman" w:hAnsi="Times New Roman"/>
          <w:sz w:val="20"/>
        </w:rPr>
      </w:pPr>
      <w:r>
        <w:rPr>
          <w:rFonts w:ascii="Times New Roman" w:hAnsi="Times New Roman"/>
          <w:i/>
          <w:sz w:val="20"/>
        </w:rPr>
        <w:t>Anti-Dilution Provisions</w:t>
      </w:r>
      <w:r>
        <w:rPr>
          <w:rFonts w:ascii="Times New Roman" w:hAnsi="Times New Roman"/>
          <w:sz w:val="20"/>
        </w:rPr>
        <w:t xml:space="preserve">. The Board may adjust the Purchase Price, the number of shares of Series A Preferred issuable and the number of outstanding Rights to prevent dilution that may occur from a stock dividend, a stock split, a reclassification of the Series A Preferred or Southwest Gas Holdings, Inc. common stock or certain other specified transactions. No adjustments to the Purchase Price of less than 1% are required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Preferred Stock</w:t>
      </w:r>
      <w:r>
        <w:rPr>
          <w:rFonts w:ascii="Times New Roman" w:hAnsi="Times New Roman"/>
          <w:sz w:val="20"/>
        </w:rPr>
        <w:t xml:space="preserve">. Each one ten-thousandth of a share of Series A Preferred, if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holders to quarterly dividend payments of $.001 per one ten-thousandth of a share of Series A Preferred, or an amount equal to the dividend paid on one share of Southwest Gas Holdings, Inc. common stock, whichever is greater.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holders upon liquidation either to receive $.001 per one ten-thousandth of a share of Series A Preferred, or an amount equal to the payment made on one share of Southwest Gas Holdings, Inc. common stock, whichever is greater.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have the same voting power as one share of Southwest Gas Holdings, Inc.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of Southwest Gas Holdings, Inc. common stock are exchanged as a result of a merger, consolidation, or a similar transaction, will entitle holders to a per share payment equal to the payment made on one share of Southwest Gas Holdings, Inc.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value of one ten-thousandth of a share of Series A Preferred should approximate the value of one share of Southwest Gas Holdings, Inc.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Board, without further action by the stockholders, to issue up to 5,000,000 shares of preferred stock, without par value, in one or more series and to fix the rights, preferences, privileges and restrictions granted to, or imposed upon, any such wholly unissued series.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Matters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bylaws and the Plan contain provisions that may have the effect of discouraging persons from acquiring large blocks of Southwest Gas Holdings, Inc. stock or delaying or preventing a change in control of Southwest Gas Holdings, Inc. The material provisions which may have such an effect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requiring a super-majority vote by holders of common stock in order to approve certain types of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provision permitting the Board to make, amend or repeal the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authorization for the Board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with respect to proposals other than those adopted or recommended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permitting amendment of certain of these provisions only by an affirmative vote of the holders of at least 65 percent of the outstanding shares of Southwest Gas Holdings, Inc. common stock entitled to vote;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requiring director nominees nominated by a stockholder (each such person, a Stockholder Nominee) for election to the Board to provide us with certain information with respect to information and agreements between the Stockholder Nominee and any Stockholder Associated Person (as defined in our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Rights may have certain anti-takeover effects. In general terms and subject to certain exceptions, the Plan works by imposing a significant penalty upon any person or group of affiliated or associated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that acquires 4.9% (9.9% in the case of a passive investor or, in the case of the Icahn Group or any member of the Icahn Group, the applicable amounts set forth in the Plan) or more of the outstanding Southwest Gas Holdings, Inc. common stock, except in certain situations specified in the Plan (such person, an Acquiring Person). The Rights, however, should not interfere with any merger or other business combination approved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is the registrar and transfer agent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New York Stock Exchange under the symbol SWX.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899567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text describes the general terms and provisions of debt securities that Southwest Gas Holdings, Inc. and/or Southwest Gas Corporation may offer from time to time. For purposes of this Description of Debt Securities, we, us and our refer to the relevant issuer of debt securities, Southwest Gas Holdings, Inc. or Southwest Gas Corporation, as the case may be, and not to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the series in a prospectus supplement. We will also indicate in any applicable prospectus supplement whether the general terms and provisions described in this prospectus apply to a particular series of debt securities. Unless otherwise specified in any applicable prospectus supplement, the senior debt securities will be our direct, unsecured obligations and will rank equally with all of our other unsecured and unsubordinated indebtedness. To the extent we issue secured or subordinated debt securities, the terms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of Southwest Gas Holdings, Inc. will be issued under an indenture between Southwest Gas Holdings, Inc. and The Bank of New York Mellon Trust Company, N.A., as Trustee (the Holdings Indenture) in the form included as an exhibit to the registration statement of which this prospectus forms a part. Unless otherwise specified in any applicable prospectus supplement, the debt securities of Southwest Gas Corporation will be issued under the indenture, dated as of June 4, 2020, by and between Southwest Gas Corporation and The Bank of New York Mellon Trust Company, N.A., as Trustee (the Corporation Indenture and, together with the Holdings Indenture, the Indentures). Each Indenture describes the terms of the debt securities and does not limit the amount of debt securities or other unsecured, senior debt we may issue. We have summarized the general terms and provisions of the debt securities to be governed by each Indenture. The summary is not complete and is subject to, and qualified in its entirety by reference to, all provisions of the Indenture and the Trust Indenture Act of 1939, as amended (the Trust Indenture Act). We encourage you to read the Indentures. Capitalized terms used in this description of our debt securities have the meanings ascribed to them in the applicable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the Board or a committee thereof and set forth or determined in the manner provided in an Officers Certificate or by a supplemental indenture to the relevant Indenture. The particular terms of each series of debt securities will be described in a prospectus supplement relating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their specific terms, including, to the extent applicable,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premium, if any,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redeem or prepay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or right we have to redeem, repay or purchase the debt securities pursuant to any sinking fund or analogous provision or at the option of a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minimum denominations of $2,000 and any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certificated or book-entry only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collateral securing or guarantees of payments of principal of, or premium or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described in this prospectus or in the relevant Indenture with respect to the debt securities and any change in the acceleration provisions described in this prospectus or in the relevant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relevant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including the conversion rate, the conversion period, provisions as to whether conversion will be mandatory, at the option of the holder or at our option, the events requiring an adjustment of the conversion rate and provisions affecting conversion if such series of debt securities is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depositories, interest rate calculation agents, exchange rate calculation agents or other agents with respect to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modify, delete, supplement or add to any provision of the relevant Indenture as it applies to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registration of transfer or exchange of certificated debt securities, but we may require payment of a sum sufficient to cover all taxes, assessments or other governmental charges that may be imposed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and any premium and interest on, certificated debt securities only by surrendering the certificate representing those certificated debt securities and either execution by us, and authentication and delivery by the Trustee, of the certificate to the new holder or execution by us, and authentication and delivery by the Trustee, of a new certificate to the new holder.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financial or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or any guarantor of the debt securities shall not consolidate with or sell, lease or convey all or substantially all of our properties or assets to, or merge with or into, in one transaction or a series of related transactions,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such guarantor, as the case may be, is the continuing Person or, alternatively, the successor Person is organized under the laws of the United States of America, any State thereof or the District of Columbia, and such Person (if not us or such guarantor, as the case may be) expressly assumes, by a supplemental indenture, executed and delivered to the Trustee, in form reasonably satisfactory to the Trustee, all of our obligations under the debt securities and under the relevant Indenture or all of such guarantors obligations under its guarantee of the debt securities,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has occurred or is continuing;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such consolidation, merger, conveyance, or transfer and such supplemental indenture complies with this provision and that such supplemental indenture constitutes the legal, valid and binding obligation of the successor Person subject to customary exceptions.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interest upon any debt security of that series when it becomes due and payable,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principal of or premium, if any, on any debt security of that series at its maturity,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or any guarantor of the debt securities of that series to comply with any of its agreements in that series of debt securities, the relevant Indenture, or its guarantee of that series of debt securities (collectively, a Covenant Default), for a period of 90 days after written notice specified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with respect to the debt securities of that series ceases for any reason to be, or is asserted by us or the guarantor not to be, in full force and effect and enforceable in accordance with its terms except to the extent contemplated in the relevant Indenture or the guarantee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or any guarantor of the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the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default constituting a Covenant Default with respect to a particular series of debt securities (except as to certain events of bankruptcy, insolvency or reorganization) is not an Event of Default until the Trustee (by written notice to us) or the holders of at least 25% in aggregate principal amount of the outstanding debt securities of that series (by written notice to us and the Trustee) gives notice of the default and we do not cure such default within 90 days after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relevant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Event of Default resulting from certain events of bankruptcy, insolvency or reorganization, the principal of and accrued and unpaid interest, if any, on all outstanding debt securities will become and be immediately due and payable without any declaration or other act on the part of the Trustee or any holder of outstanding debt securities. If any other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and accrued and unpaid interest, if any, on all debt securities of that series. At any time after a declaration of acceleration with respect to debt securities of any series has been made, the holders of a majority in principal amount of the outstanding debt securities of that series may rescind the acceleration and its consequences if all Events of Default, other than the nonpayment of accelerated principal and interest, if any, with respect to debt securities of that series, have been cured or waived as provided in the relevant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Indentures provide that the Trustee may refuse to perform any duty or exercise any of its rights or powers under the relevant Indenture unless the Trustee receives indemnity and/or security reasonably satisfactory to it against any loss,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pursue any remedy under the relevant Indenture or that series of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and 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a written request to the Trustee, and offered indemnity and/or security reasonably satisfactory to the Trustee, to pursue the remedy as Trustee, and the Trustee has not received from the holders of not less than a majority in principal amount of the outstanding debt securities of that series a direction inconsistent with that request within the 60-day period after the request is delivered, and the Trustee has failed to institute the proceeding within 60 days after receipt of the request and the offer or security and/or indemnity.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relevant Indenture, the holder of any series of debt security will have an absolute and unconditional right to receive payment of the principal, premium and any interest on that debt security on or after the due dates expressed in that series of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requires us, within 120 days after the end of each fiscal year, to deliver to the Trustee a certificate as to compliance with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relevant Indenture or the debt securities of any series without notice to or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(or any guarantor) and the assumption by any such successor of our obligations (or those of any guarantor) in accordance with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for the benefit of the holders of all of the debt securities of any series or to surrender any right or power conferred upon us by the relevant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one or more guarantees for the benefit of the holders of the debt securities of that series or to release one or more guarantees in accordance with the relevant Indenture or any supplemental indenture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collateral security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appoint a successor or separate Trustee or other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any debt securities or additional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in connection with qualifying the relevant Indenture under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rules of any applicable securities depository;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provided, however, that the uncertificated debt securities are issued in registered form for purposes of Section 163(f)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provisions of the relevant Indenture to the Description of Notes, Description of the Notes and Guarantees, Description of Debt Securities and any similar sections of any offering memorandum or prospectus prepared in connection with the issuance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changes to the relevant Indenture applicable only to other series of debt securities issuable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other provision if the change does not adversely affect the interests of any holder of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relevant Indenture with the written consent of the holders of at least a majority in principal amount of the outstanding debt securities of each series affected by the modifications or amendments. We may not make any modification or amendment without the consent of each affected holder of a series of debt securities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installment of interest on,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of interest on,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premium payable on the redemption or required repurchase of any debt security of such series or change the date on which any debt security of such series may or must be redeemed, repaid or required to be repurchased;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coin or currency in which the principal of, premium, if any, or interest on any debt security of such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of such series to institute suit for the enforcement of any payment on or after the stated maturity of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security of such series, the consent of whose holders is required in order to take certain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requirements for quorum or voting by holders in the relevant Indenture or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the relevant Indenture regarding the waiver of past defaults and the waiver of certain covenants by holders except to increase any percentage vote required or to provide that certain other provisions of the relevant Indenture cannot be modified or waived without the consent of the holder of each debt security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above provisions.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relevant Indenture. The holders of a majority in principal amount of the outstanding debt securities of any series may on behalf of the holders of all the debt securities of such series waive any past default under the relevant Indenture with respect to that series and its consequences, except a default in the payment of the principal,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Discharge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When all outstanding debt securities of any series will become due and payable at their stated maturity within one year and we have deposited (or caused to be deposited) with the Trustee cash sufficient to pay and discharge all outstanding debt securities of such series on the date of their stated maturity, then we may satisfy and discharge our obligations under the relevant Indenture with respect to such debt securities while they remain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relevant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Trust Indenture Act and the relevant Indenture provide that in case an Event of Default shall occur (and be continuing), the Trustee will be required, in the exercise of its rights and powers, to use the same degree of care and skill of a prudent person in the conduct of such persons own affairs. Subject to such provision, the Trustee will be under no obligation to exercise any of its rights or powers under the relevant Indenture at the request of any of the holders of the debt securities issued thereunder, unless they have offered to the Trustee security or indemnity satisfactory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899567_8"/>
      <w:bookmarkEnd w:id="10"/>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of any series of the applicable issuer may have the benefit of guarantees (each, a Guarantee), by one or more of its subsidiaries (each, a Guarantor). In the case of Southwest Gas Corporation, the debt securities may or may not be guaranteed by Southwest Gas Holdings, Inc., its direct parent. The Guarantees, if any, will be the unsubordinated and, unless otherwise expressly stated in the applicable prospectus supplement, unsecured obligations of the respective Guarantors. The Guarantors of any series of guaranteed debt securities of each issuer may differ from the Guarantors of any other series of guaranteed debt securities of each issuer. In the event Southwest Gas Holdings, Inc. or Southwest Gas Corporation, as applicable, issues a series of guaranteed debt securities, the specific Guarantors of the debt securities of that series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Southwest Gas Holdings, Inc. or Southwest Gas Corporation, as applicable, issues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the applicable issuers other obligations under the applicable Indenture with respect to the debt securities of such series, all in accordance with the terms of such debt securities and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otherwise provided in the prospectus supplement relating to a series of guaranteed debt securities, the applicable Indenture will contain provisions to the effect that the obligations of each Guarantor under its Guarantees and such Indenture shall be limited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series of guaranteed debt securities will specify other terms of the applicable Guarantees, which may include provisions that allow a Guarantor to be released from its obligations under its Guarantee under specified circumstances or that provide for one or more Guarantees to be secured by specified collateral.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stated in the applicable prospectus supplement, each Guarantee will be the unsubordinated and unsecured obligation of the applicable Guarantor and will rank on a parity in right of payment with all other unsecured and unsubordinated indebtedness and guarantees of such Guarantor. Each Guarantee (other than a secured Guarantee) will be effectively subordinated to all existing and future secured indebtedness and secured guarantees of the applicable Guarantor to the extent of the value of the collateral securing that indebtedness and those guarantees. Consequently, in the event of a bankruptcy, liquidation, dissolution, reorganization or similar proceeding with respect to any Guarantor that has provided an unsecured Guarantee of any debt securities, the holders of that Guarantors secured indebtedness and secured guarantees will be entitled to proceed directly against the collateral that secures that secured indebtedness or those secured guarantees, as the case may be, and such collateral will not be available for satisfaction of any amount owed by such Guarantor under its unsecured indebtedness and unsecured guarantees, including its unsecured Guarantees of any debt securities, until that secured debt and those secured guarantees are satisfied in full. Unless otherwise provided in the applicable prospectus supplement, the Indentures will not limit the ability of any Guarantor to incur secured indebtedness or issue secured guarantees.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expressly stated in the applicable prospectus supplement, each secured Guarantee will be an unsubordinated obligation of the applicable Guarantor and will rank on a parity in right of payment with all other unsecured and unsubordinated indebtedness and guarantees of such Guarantor, except that such secured Guarantee will effectively rank senior to such Guarantors unsecured and unsubordinated indebtedness and guarantees in respect of claims against the collateral securing that secured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899567_9"/>
      <w:bookmarkEnd w:id="11"/>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depositary shares is only a summary and is qualified by any prospectus supplement and deposit agreement and depositary receipt used in connection with the issuance of each series of preferred stock issued through the use of depositary shares. Therefore, you should read carefully the more detailed description that would be contained in any prospectus supplement and form of deposit agreement and depositary receipt, copies of which are incorporated by reference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fractional shares of preferred stock by issuing receipts for depositary shares. The shares of any series of preferred stock represented by depositary shares will be deposited with a bank or trust company and the holders will be issued a depositary receipt entitling them, in proportion to the fraction of a share the receipt represents, to all the rights and preferences of the preferred stock, as more fully described above under the heading Description of Capital StockPreferred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bank or trust company that will be the depositary will function as the intermediary between Southwest Gas Holdings, Inc. and the holders of the depositary receipts. Dividends and other distributions will be provided to the depositary for ultimate distribution to the holders. Redemption of the depositary shares and voting the underlying preferred stock will also be coordinated through the depositary. Holders will have the right to surrender their depositary receipts to the depositary and be entitled to receive whole shares of preferred stock that are represented by such receipts. Though the preferred stock will continue to have all of the rights and preferences, there may be no market opportunity to trade such stock and once withdrawn from the depositary, it may not be redeposited.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 Southwest Gas Holdings, Inc. will also pay charges of the depositary in connection with the initial deposit of the preferred stock and the initial issuance of the depositary receipts, any redemption of the preferred stock and any withdrawal of preferred stock by the holder of the depositary shares. Holders will pay other transfer and other taxes and governmental charges and such other charges specifically provided in the deposit agreement for their individual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899567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debt securities, common stock, preferred stock, depositary shares or any combination of these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selected provisions relating to the warrants that we may issue. The summary is not complete. When warrants are offered in the future, a prospectus supplement, or other offering material as applicable, will explain the particular terms of those securities and the extent to which these general provisions may apply. The specific terms of the warrants as described in a prospectus supplement will supplement and, if applicable, may modify or replace the general terms described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and any description of warrants in the applicable prospectus supplement or other offering material is subject to and is qualified in its entirety by reference to all the provisions of any specific warrant document or agreement, which we will file with the SEC for incorporation by reference into this prospectus. See Where You Can Find More Information and Incorporation by Reference for information on how to obtain a copy of a warrant document when it is filed.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a series of warrants, we mean all warrants issued as part of the same series under the applicable warrant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any warrants that we may offer will contain the specific terms of the warrants.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that investors may use to pay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underlying securities with which the warrants are issued and the number of warrants issued with each underlying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United States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terms of redemption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and conditions relating to the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 </w:t>
      </w:r>
    </w:p>
    <w:p>
      <w:pPr>
        <w:pStyle w:val="TextBody"/>
        <w:bidi w:val="0"/>
        <w:spacing w:before="240" w:after="0"/>
        <w:jc w:val="left"/>
        <w:rPr>
          <w:rFonts w:ascii="Times New Roman" w:hAnsi="Times New Roman"/>
          <w:sz w:val="20"/>
        </w:rPr>
      </w:pPr>
      <w:r>
        <w:rPr>
          <w:rFonts w:ascii="Times New Roman" w:hAnsi="Times New Roman"/>
          <w:sz w:val="20"/>
        </w:rPr>
        <w:t xml:space="preserve">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or other offering material.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A warrant will entitle the holder to purchase for cash an amount of securities at an exercise price that will be stated in, or that will be determinable as described in, the applicable prospectus supplement or other offering material. Warrants may be exercised at any time up to the close of business on the expiration date set forth in the applicable prospectus supplement or other offering material.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exercised as set forth in the applicable prospectus supplement or other offering material. Upon receipt of payment and the warrant certificate properly completed and duly executed at the corporate trust office of the warrant agent or any other office indicated in the prospectus supplement or other offering material, we will forward, as soon as practicable, the securities purchasable upon such exercise. If less than all of the warrants represented by such warrant certificate are exercised, a new warrant certificate will be issued for the remaining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899567_11"/>
      <w:bookmarkEnd w:id="13"/>
      <w:r>
        <w:rPr>
          <w:rFonts w:ascii="Times New Roman" w:hAnsi="Times New Roman"/>
          <w:b/>
          <w:sz w:val="20"/>
        </w:rPr>
        <w:t xml:space="preserve">DESCRIPTION OF UNITS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composed of any combination of our debt securities, common stock, preferred stock, and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selected provisions relating to units that we may offer. The summary is not complete. When units are offered in the future, a prospectus supplement, or other offering material as applicable, will explain the particular terms of those securities and the extent to which these general provisions may apply. The specific terms of the units as described in a prospectus supplement will supplement and, if applicable, may modify or replace the general terms described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and any description of units in the applicable prospectus supplement or other offering material is subject to and is qualified in its entirety by reference to the unit agreement and, if applicable, collateral arrangements and depositary arrangements relating to such units. We will file these documents with the SEC for incorporation by reference into this prospectus. See Where You Can Find More Information and Incorporation by Reference for information on how to obtain a copy of a document when it is filed.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or other offering material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composing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provisions described in this section, as well as those described under Description of Debt Securities, Description of Guarantees, Description of Capital Stock and Description of Warrants, will apply to each unit and to each security included in each unit,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899567_12"/>
      <w:bookmarkEnd w:id="14"/>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rights to purchase our debt securities, common stock, preferred stock or other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after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rights will be issued under a separate rights agreement to be entered into, from time to time, between us and a bank or trust company, as rights agent, all as set forth in a prospectus supplement relating to the particular issue of rights. The rights agent will act solely as an agent of ours in connection with the certificates relating to the rights and will not assume any obligation or relationship of agency or trust for or with any holders of rights certificates or beneficial owners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selected provisions relating to rights that we may offer. The summary is not complete. When rights are offered in the future, a prospectus supplement, or other offering material as applicable, will explain the particular terms of those securities and the extent to which these general provisions may apply. The specific terms of the rights as described in a prospectus supplement will supplement and, if applicable, may modify or replace the general terms described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and any description of units in the applicable prospectus supplement or other offering material is subject to and is qualified in its entirety by reference to the rights agreement and, if applicable, underwriting or other arrangements relating to such rights. We will file these documents with the SEC for incorporation by reference into this prospectus. See Where You Can Find More Information and Incorporation by Reference for information on how to obtain a copy of a document when it is filed.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the rights to be issued, including the following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security holders entitled to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and the aggregate of amount of debt securities, common shares, preferred shares or other securities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and any adjustments to such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shall commence and the date on which the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U.S. federal income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rights issued in any rights offering are exercised, we may offer any unsubscribed securities directly to persons other than our security holders, to or through agents, underwriters or dealer or through a combination of such methods, including pursuant to standby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899567_13"/>
      <w:bookmarkEnd w:id="1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described in this prospectus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purchasers 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underwriters for public offering and sale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foregoing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sell securities to or through dealers, and such dealers may receive compensation in the form of discounts, concessions or commissions from the underwriters and/or commissions (which may be changed from time to time)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Unless we state otherwise in the applicable prospectus supplement, the obligations of any underwriters to purchase securities will be subject to certain conditions precedent, and the underwriters will be obligated to purchase all the securities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240" w:after="0"/>
        <w:jc w:val="left"/>
        <w:rPr>
          <w:rFonts w:ascii="Times New Roman" w:hAnsi="Times New Roman"/>
          <w:sz w:val="20"/>
        </w:rPr>
      </w:pPr>
      <w:r>
        <w:rPr>
          <w:rFonts w:ascii="Times New Roman" w:hAnsi="Times New Roman"/>
          <w:sz w:val="20"/>
        </w:rPr>
        <w:t xml:space="preserve">We will name any agent involved in a sale of securities, as well as any commissions payable to such agent,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we state otherwise in the applicable prospectus supplement, any such agent will be acting on a reasonable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pursuant to this prospectus, we and/or one or more selling stockholders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899567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w:t>
      </w:r>
      <w:r>
        <w:rPr>
          <w:rFonts w:ascii="Times New Roman" w:hAnsi="Times New Roman"/>
          <w:i/>
          <w:sz w:val="20"/>
        </w:rPr>
        <w:t>www.sec.gov</w:t>
      </w:r>
      <w:r>
        <w:rPr>
          <w:rFonts w:ascii="Times New Roman" w:hAnsi="Times New Roman"/>
          <w:sz w:val="20"/>
        </w:rPr>
        <w:t xml:space="preserve">) that contains reports, proxy and information statements, and other information regarding issuers, including us, that file electronically with the SEC. The public can obtain any documents that we file electronically with the SEC. You may also obtain our filings through the New York Stock Exchange, 20 Broad Street, New York, New York 10005, on which our common stock is listed. </w:t>
      </w:r>
    </w:p>
    <w:p>
      <w:pPr>
        <w:pStyle w:val="TextBody"/>
        <w:bidi w:val="0"/>
        <w:spacing w:before="240" w:after="0"/>
        <w:jc w:val="left"/>
        <w:rPr>
          <w:rFonts w:ascii="Times New Roman" w:hAnsi="Times New Roman"/>
          <w:sz w:val="20"/>
        </w:rPr>
      </w:pPr>
      <w:r>
        <w:rPr>
          <w:rFonts w:ascii="Times New Roman" w:hAnsi="Times New Roman"/>
          <w:sz w:val="20"/>
        </w:rPr>
        <w:t>We also make available, free of charge, on or through our website (</w:t>
      </w:r>
      <w:r>
        <w:rPr>
          <w:rFonts w:ascii="Times New Roman" w:hAnsi="Times New Roman"/>
          <w:i/>
          <w:sz w:val="20"/>
        </w:rPr>
        <w:t>https://www.swgasholdings.com</w:t>
      </w:r>
      <w:r>
        <w:rPr>
          <w:rFonts w:ascii="Times New Roman" w:hAnsi="Times New Roman"/>
          <w:sz w:val="20"/>
        </w:rPr>
        <w:t xml:space="preserve">) our Annual Reports on Form 10-K, Quarterly Reports on Form 10-Q, Current Reports on Form 8-K, Proxy Statements on Schedule 14A and, if applicable, amendments to those reports filed or furnished pursuant to Section 13(a) of the Exchange Act, as soon as reasonably practicable after we electronically file such material with, or furnish it to, the SEC. Please note, however, that we have not incorporated any other information by reference from our website, other than the documents listed under the heading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through the SECs website referenced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899567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in other documents that we file with it, which means that we can disclose important information to you by referring you to those documents. The information that we incorporate by reference is considered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reports that we file with the SEC on or after the date of this prospectus and before the date that the offering of the securities is terminated will automatically update and, where applicable, supersede any information contained in this prospectus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means that you must look at all of the SEC filings that we incorporate by reference to determine if any of the statements in this prospectus or in any documents previously incorporated by reference into this prospectus have been modified or superseded. We specifically incorporate by reference into this prospectus the following documents filed with the SEC (other than, in each case, documents or information deemed furnished and not filed in accordance with SEC rules, including pursuant to Item 2.02 or Item 7.01 of Form 8-K, and no such information shall be deemed specifically incorporated by reference 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of Southwest Gas Holdings, Inc.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of Southwest Gas Corporation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of Southwest Gas Holdings, Inc. on Form 10-Q for the quarters ended </w:t>
            </w:r>
            <w:hyperlink r:id="rId6">
              <w:r>
                <w:rPr>
                  <w:rStyle w:val="InternetLink"/>
                  <w:rFonts w:ascii="Times New Roman" w:hAnsi="Times New Roman"/>
                  <w:sz w:val="20"/>
                </w:rPr>
                <w:t>March 31, 2023</w:t>
              </w:r>
            </w:hyperlink>
            <w:r>
              <w:rPr>
                <w:rFonts w:ascii="Times New Roman" w:hAnsi="Times New Roman"/>
                <w:sz w:val="20"/>
              </w:rPr>
              <w:t xml:space="preserve">, </w:t>
            </w:r>
            <w:hyperlink r:id="rId7">
              <w:r>
                <w:rPr>
                  <w:rStyle w:val="InternetLink"/>
                  <w:rFonts w:ascii="Times New Roman" w:hAnsi="Times New Roman"/>
                  <w:sz w:val="20"/>
                </w:rPr>
                <w:t>June  30, 2023</w:t>
              </w:r>
            </w:hyperlink>
            <w:r>
              <w:rPr>
                <w:rFonts w:ascii="Times New Roman" w:hAnsi="Times New Roman"/>
                <w:sz w:val="20"/>
              </w:rPr>
              <w:t xml:space="preserve">, and </w:t>
            </w:r>
            <w:hyperlink r:id="rId8">
              <w:r>
                <w:rPr>
                  <w:rStyle w:val="InternetLink"/>
                  <w:rFonts w:ascii="Times New Roman" w:hAnsi="Times New Roman"/>
                  <w:sz w:val="20"/>
                </w:rPr>
                <w:t>September 30,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of Southwest Gas Corporation on Form 10-Q for the quarters ended </w:t>
            </w:r>
            <w:hyperlink r:id="rId9">
              <w:r>
                <w:rPr>
                  <w:rStyle w:val="InternetLink"/>
                  <w:rFonts w:ascii="Times New Roman" w:hAnsi="Times New Roman"/>
                  <w:sz w:val="20"/>
                </w:rPr>
                <w:t>March 31, 2023</w:t>
              </w:r>
            </w:hyperlink>
            <w:r>
              <w:rPr>
                <w:rFonts w:ascii="Times New Roman" w:hAnsi="Times New Roman"/>
                <w:sz w:val="20"/>
              </w:rPr>
              <w:t xml:space="preserve">, </w:t>
            </w:r>
            <w:hyperlink r:id="rId10">
              <w:r>
                <w:rPr>
                  <w:rStyle w:val="InternetLink"/>
                  <w:rFonts w:ascii="Times New Roman" w:hAnsi="Times New Roman"/>
                  <w:sz w:val="20"/>
                </w:rPr>
                <w:t>June  30, 2023</w:t>
              </w:r>
            </w:hyperlink>
            <w:r>
              <w:rPr>
                <w:rFonts w:ascii="Times New Roman" w:hAnsi="Times New Roman"/>
                <w:sz w:val="20"/>
              </w:rPr>
              <w:t xml:space="preserve">, and </w:t>
            </w:r>
            <w:hyperlink r:id="rId11">
              <w:r>
                <w:rPr>
                  <w:rStyle w:val="InternetLink"/>
                  <w:rFonts w:ascii="Times New Roman" w:hAnsi="Times New Roman"/>
                  <w:sz w:val="20"/>
                </w:rPr>
                <w:t>September 30,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the Definitive Proxy Statement of Southwest Gas Holdings, Inc. on </w:t>
            </w:r>
            <w:hyperlink r:id="rId12">
              <w:r>
                <w:rPr>
                  <w:rStyle w:val="InternetLink"/>
                  <w:rFonts w:ascii="Times New Roman" w:hAnsi="Times New Roman"/>
                  <w:sz w:val="20"/>
                </w:rPr>
                <w:t>Schedule 14A</w:t>
              </w:r>
            </w:hyperlink>
            <w:r>
              <w:rPr>
                <w:rFonts w:ascii="Times New Roman" w:hAnsi="Times New Roman"/>
                <w:sz w:val="20"/>
              </w:rPr>
              <w:t xml:space="preserve"> (filed on March  21, 2023) that were specifically incorporated by reference into its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of Southwest Gas Holdings, Inc. on Form 8-K/A filed on </w:t>
            </w:r>
            <w:hyperlink r:id="rId14">
              <w:r>
                <w:rPr>
                  <w:rStyle w:val="InternetLink"/>
                  <w:rFonts w:ascii="Times New Roman" w:hAnsi="Times New Roman"/>
                  <w:sz w:val="20"/>
                </w:rPr>
                <w:t>February 21, 2023</w:t>
              </w:r>
            </w:hyperlink>
            <w:r>
              <w:rPr>
                <w:rFonts w:ascii="Times New Roman" w:hAnsi="Times New Roman"/>
                <w:sz w:val="20"/>
              </w:rPr>
              <w:t xml:space="preserve"> and Current Reports of Southwest Gas Holdings, Inc. on Form 8-K filed on </w:t>
            </w:r>
            <w:hyperlink r:id="rId15">
              <w:r>
                <w:rPr>
                  <w:rStyle w:val="InternetLink"/>
                  <w:rFonts w:ascii="Times New Roman" w:hAnsi="Times New Roman"/>
                  <w:sz w:val="20"/>
                </w:rPr>
                <w:t>January  13, 2023</w:t>
              </w:r>
            </w:hyperlink>
            <w:r>
              <w:rPr>
                <w:rFonts w:ascii="Times New Roman" w:hAnsi="Times New Roman"/>
                <w:sz w:val="20"/>
              </w:rPr>
              <w:t xml:space="preserve">, </w:t>
            </w:r>
            <w:hyperlink r:id="rId16">
              <w:r>
                <w:rPr>
                  <w:rStyle w:val="InternetLink"/>
                  <w:rFonts w:ascii="Times New Roman" w:hAnsi="Times New Roman"/>
                  <w:sz w:val="20"/>
                </w:rPr>
                <w:t>January 20, 2023</w:t>
              </w:r>
            </w:hyperlink>
            <w:r>
              <w:rPr>
                <w:rFonts w:ascii="Times New Roman" w:hAnsi="Times New Roman"/>
                <w:sz w:val="20"/>
              </w:rPr>
              <w:t xml:space="preserve">, </w:t>
            </w:r>
            <w:hyperlink r:id="rId17">
              <w:r>
                <w:rPr>
                  <w:rStyle w:val="InternetLink"/>
                  <w:rFonts w:ascii="Times New Roman" w:hAnsi="Times New Roman"/>
                  <w:sz w:val="20"/>
                </w:rPr>
                <w:t>February  14, 2023 (Item 2.01 only)</w:t>
              </w:r>
            </w:hyperlink>
            <w:r>
              <w:rPr>
                <w:rFonts w:ascii="Times New Roman" w:hAnsi="Times New Roman"/>
                <w:sz w:val="20"/>
              </w:rPr>
              <w:t xml:space="preserve">, </w:t>
            </w:r>
            <w:hyperlink r:id="rId18">
              <w:r>
                <w:rPr>
                  <w:rStyle w:val="InternetLink"/>
                  <w:rFonts w:ascii="Times New Roman" w:hAnsi="Times New Roman"/>
                  <w:sz w:val="20"/>
                </w:rPr>
                <w:t>March  7, 2023</w:t>
              </w:r>
            </w:hyperlink>
            <w:r>
              <w:rPr>
                <w:rFonts w:ascii="Times New Roman" w:hAnsi="Times New Roman"/>
                <w:sz w:val="20"/>
              </w:rPr>
              <w:t xml:space="preserve">, </w:t>
            </w:r>
            <w:hyperlink r:id="rId19">
              <w:r>
                <w:rPr>
                  <w:rStyle w:val="InternetLink"/>
                  <w:rFonts w:ascii="Times New Roman" w:hAnsi="Times New Roman"/>
                  <w:sz w:val="20"/>
                </w:rPr>
                <w:t>March 10, 2023</w:t>
              </w:r>
            </w:hyperlink>
            <w:r>
              <w:rPr>
                <w:rFonts w:ascii="Times New Roman" w:hAnsi="Times New Roman"/>
                <w:sz w:val="20"/>
              </w:rPr>
              <w:t xml:space="preserve">, </w:t>
            </w:r>
            <w:hyperlink r:id="rId20">
              <w:r>
                <w:rPr>
                  <w:rStyle w:val="InternetLink"/>
                  <w:rFonts w:ascii="Times New Roman" w:hAnsi="Times New Roman"/>
                  <w:sz w:val="20"/>
                </w:rPr>
                <w:t>March 23, 2023</w:t>
              </w:r>
            </w:hyperlink>
            <w:r>
              <w:rPr>
                <w:rFonts w:ascii="Times New Roman" w:hAnsi="Times New Roman"/>
                <w:sz w:val="20"/>
              </w:rPr>
              <w:t xml:space="preserve">, </w:t>
            </w:r>
            <w:hyperlink r:id="rId21">
              <w:r>
                <w:rPr>
                  <w:rStyle w:val="InternetLink"/>
                  <w:rFonts w:ascii="Times New Roman" w:hAnsi="Times New Roman"/>
                  <w:sz w:val="20"/>
                </w:rPr>
                <w:t>April 4, 2023</w:t>
              </w:r>
            </w:hyperlink>
            <w:r>
              <w:rPr>
                <w:rFonts w:ascii="Times New Roman" w:hAnsi="Times New Roman"/>
                <w:sz w:val="20"/>
              </w:rPr>
              <w:t xml:space="preserve">, </w:t>
            </w:r>
            <w:hyperlink r:id="rId22">
              <w:r>
                <w:rPr>
                  <w:rStyle w:val="InternetLink"/>
                  <w:rFonts w:ascii="Times New Roman" w:hAnsi="Times New Roman"/>
                  <w:sz w:val="20"/>
                </w:rPr>
                <w:t>April  17, 2023</w:t>
              </w:r>
            </w:hyperlink>
            <w:r>
              <w:rPr>
                <w:rFonts w:ascii="Times New Roman" w:hAnsi="Times New Roman"/>
                <w:sz w:val="20"/>
              </w:rPr>
              <w:t xml:space="preserve">, </w:t>
            </w:r>
            <w:hyperlink r:id="rId23">
              <w:r>
                <w:rPr>
                  <w:rStyle w:val="InternetLink"/>
                  <w:rFonts w:ascii="Times New Roman" w:hAnsi="Times New Roman"/>
                  <w:sz w:val="20"/>
                </w:rPr>
                <w:t>April  28, 2023</w:t>
              </w:r>
            </w:hyperlink>
            <w:r>
              <w:rPr>
                <w:rFonts w:ascii="Times New Roman" w:hAnsi="Times New Roman"/>
                <w:sz w:val="20"/>
              </w:rPr>
              <w:t xml:space="preserve">, </w:t>
            </w:r>
            <w:hyperlink r:id="rId24">
              <w:r>
                <w:rPr>
                  <w:rStyle w:val="InternetLink"/>
                  <w:rFonts w:ascii="Times New Roman" w:hAnsi="Times New Roman"/>
                  <w:sz w:val="20"/>
                </w:rPr>
                <w:t>May  9, 2023 (Item 5.07 only)</w:t>
              </w:r>
            </w:hyperlink>
            <w:r>
              <w:rPr>
                <w:rFonts w:ascii="Times New Roman" w:hAnsi="Times New Roman"/>
                <w:sz w:val="20"/>
              </w:rPr>
              <w:t xml:space="preserve">, </w:t>
            </w:r>
            <w:hyperlink r:id="rId25">
              <w:r>
                <w:rPr>
                  <w:rStyle w:val="InternetLink"/>
                  <w:rFonts w:ascii="Times New Roman" w:hAnsi="Times New Roman"/>
                  <w:sz w:val="20"/>
                </w:rPr>
                <w:t>July  19, 2023</w:t>
              </w:r>
            </w:hyperlink>
            <w:r>
              <w:rPr>
                <w:rFonts w:ascii="Times New Roman" w:hAnsi="Times New Roman"/>
                <w:sz w:val="20"/>
              </w:rPr>
              <w:t xml:space="preserve">, </w:t>
            </w:r>
            <w:hyperlink r:id="rId26">
              <w:r>
                <w:rPr>
                  <w:rStyle w:val="InternetLink"/>
                  <w:rFonts w:ascii="Times New Roman" w:hAnsi="Times New Roman"/>
                  <w:sz w:val="20"/>
                </w:rPr>
                <w:t>October 25, 2023</w:t>
              </w:r>
            </w:hyperlink>
            <w:r>
              <w:rPr>
                <w:rFonts w:ascii="Times New Roman" w:hAnsi="Times New Roman"/>
                <w:sz w:val="20"/>
              </w:rPr>
              <w:t xml:space="preserve">, </w:t>
            </w:r>
            <w:hyperlink r:id="rId27">
              <w:r>
                <w:rPr>
                  <w:rStyle w:val="InternetLink"/>
                  <w:rFonts w:ascii="Times New Roman" w:hAnsi="Times New Roman"/>
                  <w:sz w:val="20"/>
                </w:rPr>
                <w:t>November  6, 2023 (Items 1.01, 3.03 and 5.03 only)</w:t>
              </w:r>
            </w:hyperlink>
            <w:r>
              <w:rPr>
                <w:rFonts w:ascii="Times New Roman" w:hAnsi="Times New Roman"/>
                <w:sz w:val="20"/>
              </w:rPr>
              <w:t xml:space="preserve">, </w:t>
            </w:r>
            <w:hyperlink r:id="rId28">
              <w:r>
                <w:rPr>
                  <w:rStyle w:val="InternetLink"/>
                  <w:rFonts w:ascii="Times New Roman" w:hAnsi="Times New Roman"/>
                  <w:sz w:val="20"/>
                </w:rPr>
                <w:t>November  15, 2023</w:t>
              </w:r>
            </w:hyperlink>
            <w:r>
              <w:rPr>
                <w:rFonts w:ascii="Times New Roman" w:hAnsi="Times New Roman"/>
                <w:sz w:val="20"/>
              </w:rPr>
              <w:t xml:space="preserve">, </w:t>
            </w:r>
            <w:hyperlink r:id="rId29">
              <w:r>
                <w:rPr>
                  <w:rStyle w:val="InternetLink"/>
                  <w:rFonts w:ascii="Times New Roman" w:hAnsi="Times New Roman"/>
                  <w:sz w:val="20"/>
                </w:rPr>
                <w:t>November 27, 2023</w:t>
              </w:r>
            </w:hyperlink>
            <w:r>
              <w:rPr>
                <w:rFonts w:ascii="Times New Roman" w:hAnsi="Times New Roman"/>
                <w:sz w:val="20"/>
              </w:rPr>
              <w:t xml:space="preserve"> and </w:t>
            </w:r>
            <w:hyperlink r:id="rId30">
              <w:r>
                <w:rPr>
                  <w:rStyle w:val="InternetLink"/>
                  <w:rFonts w:ascii="Times New Roman" w:hAnsi="Times New Roman"/>
                  <w:sz w:val="20"/>
                </w:rPr>
                <w:t>November 27, 2023 (Item 5.02 only)</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of Southwest Gas Corporation on Form 8-K filed on </w:t>
            </w:r>
            <w:hyperlink r:id="rId31">
              <w:r>
                <w:rPr>
                  <w:rStyle w:val="InternetLink"/>
                  <w:rFonts w:ascii="Times New Roman" w:hAnsi="Times New Roman"/>
                  <w:sz w:val="20"/>
                </w:rPr>
                <w:t>January 20, 2023</w:t>
              </w:r>
            </w:hyperlink>
            <w:r>
              <w:rPr>
                <w:rFonts w:ascii="Times New Roman" w:hAnsi="Times New Roman"/>
                <w:sz w:val="20"/>
              </w:rPr>
              <w:t xml:space="preserve">, </w:t>
            </w:r>
            <w:hyperlink r:id="rId32">
              <w:r>
                <w:rPr>
                  <w:rStyle w:val="InternetLink"/>
                  <w:rFonts w:ascii="Times New Roman" w:hAnsi="Times New Roman"/>
                  <w:sz w:val="20"/>
                </w:rPr>
                <w:t>March 23, 2023</w:t>
              </w:r>
            </w:hyperlink>
            <w:r>
              <w:rPr>
                <w:rFonts w:ascii="Times New Roman" w:hAnsi="Times New Roman"/>
                <w:sz w:val="20"/>
              </w:rPr>
              <w:t xml:space="preserve">, </w:t>
            </w:r>
            <w:hyperlink r:id="rId33">
              <w:r>
                <w:rPr>
                  <w:rStyle w:val="InternetLink"/>
                  <w:rFonts w:ascii="Times New Roman" w:hAnsi="Times New Roman"/>
                  <w:sz w:val="20"/>
                </w:rPr>
                <w:t>April 4, 2023</w:t>
              </w:r>
            </w:hyperlink>
            <w:r>
              <w:rPr>
                <w:rFonts w:ascii="Times New Roman" w:hAnsi="Times New Roman"/>
                <w:sz w:val="20"/>
              </w:rPr>
              <w:t xml:space="preserve">, </w:t>
            </w:r>
            <w:hyperlink r:id="rId34">
              <w:r>
                <w:rPr>
                  <w:rStyle w:val="InternetLink"/>
                  <w:rFonts w:ascii="Times New Roman" w:hAnsi="Times New Roman"/>
                  <w:sz w:val="20"/>
                </w:rPr>
                <w:t>April 17, 2023</w:t>
              </w:r>
            </w:hyperlink>
            <w:r>
              <w:rPr>
                <w:rFonts w:ascii="Times New Roman" w:hAnsi="Times New Roman"/>
                <w:sz w:val="20"/>
              </w:rPr>
              <w:t xml:space="preserve">, </w:t>
            </w:r>
            <w:hyperlink r:id="rId35">
              <w:r>
                <w:rPr>
                  <w:rStyle w:val="InternetLink"/>
                  <w:rFonts w:ascii="Times New Roman" w:hAnsi="Times New Roman"/>
                  <w:sz w:val="20"/>
                </w:rPr>
                <w:t>April  28, 2023</w:t>
              </w:r>
            </w:hyperlink>
            <w:r>
              <w:rPr>
                <w:rFonts w:ascii="Times New Roman" w:hAnsi="Times New Roman"/>
                <w:sz w:val="20"/>
              </w:rPr>
              <w:t xml:space="preserve"> and </w:t>
            </w:r>
            <w:hyperlink r:id="rId36">
              <w:r>
                <w:rPr>
                  <w:rStyle w:val="InternetLink"/>
                  <w:rFonts w:ascii="Times New Roman" w:hAnsi="Times New Roman"/>
                  <w:sz w:val="20"/>
                </w:rPr>
                <w:t>July 19,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filings that we make with the SEC under Sections 13(a), 13(c), 14 or 15(d) of the Exchange Act on or after the date of this prospectus until the termination of the offering of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obtain a copy of any or all of the documents referred to above which have been or may be incorporated by reference into this prospectus (excluding certain exhibits unless they are specifically incorporated by reference in any such documents) at no cost to you by writing or telephoning us at the following: </w:t>
      </w:r>
    </w:p>
    <w:p>
      <w:pPr>
        <w:pStyle w:val="TextBody"/>
        <w:bidi w:val="0"/>
        <w:spacing w:before="240" w:after="0"/>
        <w:jc w:val="center"/>
        <w:rPr>
          <w:rFonts w:ascii="Times New Roman" w:hAnsi="Times New Roman"/>
          <w:b/>
          <w:sz w:val="20"/>
        </w:rPr>
      </w:pPr>
      <w:r>
        <w:rPr>
          <w:rFonts w:ascii="Times New Roman" w:hAnsi="Times New Roman"/>
          <w:b/>
          <w:sz w:val="20"/>
        </w:rPr>
        <w:t xml:space="preserve">Southwest Gas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8360 S. Durango Drive </w:t>
      </w:r>
    </w:p>
    <w:p>
      <w:pPr>
        <w:pStyle w:val="TextBody"/>
        <w:bidi w:val="0"/>
        <w:spacing w:before="0" w:after="0"/>
        <w:jc w:val="center"/>
        <w:rPr>
          <w:rFonts w:ascii="Times New Roman" w:hAnsi="Times New Roman"/>
          <w:b/>
          <w:sz w:val="20"/>
        </w:rPr>
      </w:pPr>
      <w:r>
        <w:rPr>
          <w:rFonts w:ascii="Times New Roman" w:hAnsi="Times New Roman"/>
          <w:b/>
          <w:sz w:val="20"/>
        </w:rPr>
        <w:t xml:space="preserve">P.O. Box 98510 </w:t>
      </w:r>
    </w:p>
    <w:p>
      <w:pPr>
        <w:pStyle w:val="TextBody"/>
        <w:bidi w:val="0"/>
        <w:spacing w:before="0" w:after="0"/>
        <w:jc w:val="center"/>
        <w:rPr>
          <w:rFonts w:ascii="Times New Roman" w:hAnsi="Times New Roman"/>
          <w:b/>
          <w:sz w:val="20"/>
        </w:rPr>
      </w:pPr>
      <w:r>
        <w:rPr>
          <w:rFonts w:ascii="Times New Roman" w:hAnsi="Times New Roman"/>
          <w:b/>
          <w:sz w:val="20"/>
        </w:rPr>
        <w:t xml:space="preserve">Las Vegas, Nevada 89193-8510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(702) 876-7237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899567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Southwest Gas Holdings, Inc.s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Southwest Gas Corporations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9" w:name="tx899567_17"/>
      <w:bookmarkEnd w:id="1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to be sold hereunder will be passed upon for us by Morrison &amp; Foerster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statement of the estimated expenses (other than underwriting discounts and commissions) to be incurred by the Registrant in connection with the issuance and distribution of the securities registered under this registration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38"/>
        <w:gridCol w:w="451"/>
        <w:gridCol w:w="155"/>
        <w:gridCol w:w="892"/>
        <w:gridCol w:w="203"/>
      </w:tblGrid>
      <w:tr>
        <w:trPr/>
        <w:tc>
          <w:tcPr>
            <w:tcW w:w="5238"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fees</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Trustees fees and expenses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203"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5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203"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an indeterminate amount of securities under this Registration Statement and in accordance with Rules 456(b) and 457(r), the Registrant is deferring payment of all of the registration fee.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prospectus supplement will set forth the estimated aggregate amount of expenses payable in respect of any offering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articles of incorporation of Southwest Gas Corporation contain a provision which eliminates the liability of directors for monetary damages to the fullest extent permissible under California law. The General Corporation Law of California (the Law) (i) authorizes the elimination of liability of directors for monetary damages in an action brought by a stockholder in the right of the corporation or by the corporation for breach of a directors duties to the corporation and its stockholders and (ii) authorizes the corporation to indemnify directors and officers for monetary damages for all acts or omissions committed by them in their respective capacities; provided, however, that liability is not limited nor may indemnification be provided (a) for acts or omissions that involve intentional misconduct or knowing and culpable violation of law, (b) for acts or omissions that a director or officer believes to be contrary to the best interests of the corporation or its stockholders or that involve the absence of good faith on the part of a director or officer seeking indemnification, (c) for any transaction from which a director or officer derives an improper personal benefit, (d) for acts or omissions that show a reckless disregard for the directors or officers duty to the corporation or its stockholders in circumstances in which such person was aware, or should have been aware, in the ordinary course of performing his or her duties, of a risk of serious injury to the corporation or its stockholders, (e) for acts or omissions that constitute an unexcused pattern of inattention that amounts to an abdication of the directors or officers duty to the corporation or its stockholders, and (f) for liabilities arising under Section 310 (contracts in which a director has a material financial interest) and Section 316 (certain unlawful dividends, distributions, loans and guarantees) of the Law. In addition, a corporation may not indemnify directors and officers in circumstances in which indemnification is expressly prohibited by Section 317 of the Law. The bylaws of Southwest provide that Southwest has the power to indemnify directors and officers to the fullest extent permitted under California law and its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Southwest Gas Holdings, Inc. contains a provision which eliminates the liability of directors for monetary damages to the fullest extent permissible under Delaware law. Section 102 of the General Corporation Law of the State of Delaware (DGCL) permits a corporation to eliminate the personal liability of directors of a corporation to the corporation or its stockholders for monetary damages for a breach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fiduciary duty as a director, except where the director breached their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The Southwest Gas Holdings, Inc. certificate of incorporation provides that, except to the extent prohibited by the DGCL, the Companys directors shall not be liable to the Company or its stockholders for monetary damages for any breach of fiduciary duty as directors of the Company. Under the DGCL, the directors have a fiduciary duty to the Company, which is not eliminated by these provisions of the certificate of incorporation and, in appropriate circumstances, equitable remedies such as injunctive or other forms of nonmonetary relief will remain available. This provision does not affect the directors responsibilities under any other laws, such as the federal securities laws or state or federal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empowers a corporation to indemnify its directors and officers and to purchase insurance with respect to liability arising out of their capacity or status as directors and officers. The DGCL provides further that the indemnification permitted thereunder shall not be deemed exclusive of any other rights to which the directors and officers may be entitled under the corporations bylaws, any agreement, a vote of stockholders or otherwise. The bylaws of Southwest Gas Holdings, Inc. provide that it shall indemnify, to the fullest extent permitted by the DGCL and applicable law, as may be amended, any person who was or is a party or is threatened to be made a party to or is otherwise involved in any threatened, pending or completed action, suit or proceeding, whether civil, criminal, administrative or investigative (a proceeding) by reason of the fact that he or she, or a person for whom he or she is the legal representative, is or was one of the Companys directors, officers, employees or agents or is or was serving at the Companys request as a director, officer, employee or agent of another corporation or of a partnership, joint venture, trust or other enterprise, including service with respect to employee benefit plans, against all expenses, liability and loss (including attorneys fees, judgments, fines, Employee Retirement Income Security Act of 1974 excise taxes or penalties, and amounts paid or to be paid in settlement, and any interest, assessments, or other charges imposed thereon, and any federal, state, local, or foreign taxes imposed as a result of the actual or deemed receipt of any indemnification payments made to such person by the Company) reasonably incurred or suffered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Each of the Registrants has entered into indemnification agreements with its directors and officers which require that such Registrant indemnify its directors and officers in all cases to the fullest extent permitted by applicable provisions of the laws of their respective states of incorporation. Each of the Registrants also maintains a directors and officers liability insurance policy insuring directors and officers of such Registrant for covered losses as defined in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9"/>
        <w:gridCol w:w="511"/>
        <w:gridCol w:w="8835"/>
      </w:tblGrid>
      <w:tr>
        <w:trPr/>
        <w:tc>
          <w:tcPr>
            <w:tcW w:w="859"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8835" w:type="dxa"/>
            <w:tcBorders/>
            <w:vAlign w:val="center"/>
          </w:tcPr>
          <w:p>
            <w:pPr>
              <w:pStyle w:val="TableContents"/>
              <w:bidi w:val="0"/>
              <w:spacing w:before="0" w:after="283"/>
              <w:jc w:val="left"/>
              <w:rPr>
                <w:sz w:val="4"/>
                <w:szCs w:val="4"/>
              </w:rPr>
            </w:pPr>
            <w:r>
              <w:rPr>
                <w:sz w:val="4"/>
                <w:szCs w:val="4"/>
              </w:rPr>
            </w:r>
          </w:p>
        </w:tc>
      </w:tr>
      <w:tr>
        <w:trPr/>
        <w:tc>
          <w:tcPr>
            <w:tcW w:w="8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511" w:type="dxa"/>
            <w:tcBorders/>
            <w:vAlign w:val="bottom"/>
          </w:tcPr>
          <w:p>
            <w:pPr>
              <w:pStyle w:val="TableContents"/>
              <w:bidi w:val="0"/>
              <w:spacing w:before="0" w:after="283"/>
              <w:jc w:val="left"/>
              <w:rPr/>
            </w:pPr>
            <w:r>
              <w:rPr/>
              <w:t>  </w:t>
            </w:r>
          </w:p>
        </w:tc>
        <w:tc>
          <w:tcPr>
            <w:tcW w:w="8835" w:type="dxa"/>
            <w:tcBorders/>
            <w:vAlign w:val="bottom"/>
          </w:tcPr>
          <w:p>
            <w:pPr>
              <w:pStyle w:val="TableContents"/>
              <w:bidi w:val="0"/>
              <w:spacing w:before="0" w:after="283"/>
              <w:jc w:val="left"/>
              <w:rPr>
                <w:b/>
              </w:rPr>
            </w:pPr>
            <w:r>
              <w:rPr>
                <w:b/>
              </w:rPr>
              <w:t>Description</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1.1 **</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r>
              <w:rPr/>
              <w:t>Form of Debt Underwriting Agreement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1.2 **</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r>
              <w:rPr/>
              <w:t>Form of Equity Underwriting Agreement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1.3 **</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r>
              <w:rPr/>
              <w:t>Form of Warrant Underwriting Agreement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1.4 **</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r>
              <w:rPr/>
              <w:t>Form of Unit Underwriting Agreement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1.5 **</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r>
              <w:rPr/>
              <w:t>Form of Rights Underwriting Agreement</w:t>
            </w:r>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3.1</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hyperlink r:id="rId37">
              <w:r>
                <w:rPr>
                  <w:rStyle w:val="InternetLink"/>
                </w:rPr>
                <w:t xml:space="preserve">Certificate of Incorporation of Southwest Gas Holdings, Inc., a Delaware corporation. Incorporated herein by reference to Exhibit 3.1 to Form 8-K12B dated September 20, 2019, File No. 001-37976. </w:t>
              </w:r>
            </w:hyperlink>
          </w:p>
        </w:tc>
      </w:tr>
      <w:tr>
        <w:trPr>
          <w:trHeight w:val="120" w:hRule="atLeast"/>
        </w:trPr>
        <w:tc>
          <w:tcPr>
            <w:tcW w:w="859" w:type="dxa"/>
            <w:tcBorders/>
            <w:vAlign w:val="center"/>
          </w:tcPr>
          <w:p>
            <w:pPr>
              <w:pStyle w:val="TableContents"/>
              <w:bidi w:val="0"/>
              <w:spacing w:before="0" w:after="283"/>
              <w:jc w:val="left"/>
              <w:rPr>
                <w:sz w:val="4"/>
                <w:szCs w:val="4"/>
              </w:rPr>
            </w:pPr>
            <w:r>
              <w:rPr>
                <w:sz w:val="4"/>
                <w:szCs w:val="4"/>
              </w:rPr>
            </w:r>
          </w:p>
        </w:tc>
        <w:tc>
          <w:tcPr>
            <w:tcW w:w="9346" w:type="dxa"/>
            <w:gridSpan w:val="2"/>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    </w:t>
            </w:r>
            <w:r>
              <w:rPr/>
              <w:t>3.2</w:t>
            </w:r>
          </w:p>
        </w:tc>
        <w:tc>
          <w:tcPr>
            <w:tcW w:w="511" w:type="dxa"/>
            <w:tcBorders/>
            <w:vAlign w:val="bottom"/>
          </w:tcPr>
          <w:p>
            <w:pPr>
              <w:pStyle w:val="TableContents"/>
              <w:bidi w:val="0"/>
              <w:spacing w:before="0" w:after="283"/>
              <w:jc w:val="left"/>
              <w:rPr/>
            </w:pPr>
            <w:r>
              <w:rPr/>
              <w:t>  </w:t>
            </w:r>
          </w:p>
        </w:tc>
        <w:tc>
          <w:tcPr>
            <w:tcW w:w="8835" w:type="dxa"/>
            <w:tcBorders/>
          </w:tcPr>
          <w:p>
            <w:pPr>
              <w:pStyle w:val="TableContents"/>
              <w:bidi w:val="0"/>
              <w:spacing w:before="0" w:after="283"/>
              <w:jc w:val="left"/>
              <w:rPr/>
            </w:pPr>
            <w:hyperlink r:id="rId38">
              <w:r>
                <w:rPr>
                  <w:rStyle w:val="InternetLink"/>
                </w:rPr>
                <w:t xml:space="preserve">Amended and Restated Bylaws of Southwest Gas Holdings, Inc., effective October  18, 2021. Incorporated herein by reference to Exhibit 3.1 to Form 8-K dated October 18, 2021, File No. 001-37976.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68"/>
        <w:gridCol w:w="411"/>
        <w:gridCol w:w="8926"/>
      </w:tblGrid>
      <w:tr>
        <w:trPr/>
        <w:tc>
          <w:tcPr>
            <w:tcW w:w="868"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8926" w:type="dxa"/>
            <w:tcBorders/>
            <w:vAlign w:val="center"/>
          </w:tcPr>
          <w:p>
            <w:pPr>
              <w:pStyle w:val="TableContents"/>
              <w:bidi w:val="0"/>
              <w:spacing w:before="0" w:after="283"/>
              <w:jc w:val="left"/>
              <w:rPr>
                <w:sz w:val="4"/>
                <w:szCs w:val="4"/>
              </w:rPr>
            </w:pPr>
            <w:r>
              <w:rPr>
                <w:sz w:val="4"/>
                <w:szCs w:val="4"/>
              </w:rPr>
            </w:r>
          </w:p>
        </w:tc>
      </w:tr>
      <w:tr>
        <w:trPr/>
        <w:tc>
          <w:tcPr>
            <w:tcW w:w="8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411" w:type="dxa"/>
            <w:tcBorders/>
            <w:vAlign w:val="bottom"/>
          </w:tcPr>
          <w:p>
            <w:pPr>
              <w:pStyle w:val="TableContents"/>
              <w:bidi w:val="0"/>
              <w:spacing w:before="0" w:after="283"/>
              <w:jc w:val="left"/>
              <w:rPr/>
            </w:pPr>
            <w:r>
              <w:rPr/>
              <w:t>  </w:t>
            </w:r>
          </w:p>
        </w:tc>
        <w:tc>
          <w:tcPr>
            <w:tcW w:w="8926" w:type="dxa"/>
            <w:tcBorders/>
            <w:vAlign w:val="bottom"/>
          </w:tcPr>
          <w:p>
            <w:pPr>
              <w:pStyle w:val="TableContents"/>
              <w:bidi w:val="0"/>
              <w:spacing w:before="0" w:after="283"/>
              <w:jc w:val="left"/>
              <w:rPr>
                <w:b/>
              </w:rPr>
            </w:pPr>
            <w:r>
              <w:rPr>
                <w:b/>
              </w:rPr>
              <w:t>Description</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3.3</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39">
              <w:r>
                <w:rPr>
                  <w:rStyle w:val="InternetLink"/>
                </w:rPr>
                <w:t xml:space="preserve">Amendment to Amended and Restated Bylaws of Southwest Gas Holdings, Inc., effective October  20, 2023. Incorporated herein by reference to Exhibit 3.1 to Form 8-K dated October 25, 2023, File No. 001-37976.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0">
              <w:r>
                <w:rPr>
                  <w:rStyle w:val="InternetLink"/>
                </w:rPr>
                <w:t xml:space="preserve">Form of Southwest Gas Holdings, Inc. Common Stock Certificate. Incorporated herein by reference to Exhibit 4.1 to Form 8-K12B dated September 20, 2019, File No. 001-37976.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4.2 **</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r>
              <w:rPr/>
              <w:t>Form of Deposit Agreement (including the form of Depository Receipt)</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4.3 **</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r>
              <w:rPr/>
              <w:t>Form Certificate of Designations of Preferred Stock</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4.4</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1">
              <w:r>
                <w:rPr>
                  <w:rStyle w:val="InternetLink"/>
                </w:rPr>
                <w:t xml:space="preserve">Form of Indenture between Southwest Gas Holdings, Inc. and The Bank of New York Mellon Trust Company, N.A., as Trustee (including form of Debt Security). Incorporated by reference to Exhibit 4.4 to the Registrants Registration Statement on Form S-3 filed on December 2, 2020 (Form No. 333-251074).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4.5 **</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r>
              <w:rPr/>
              <w:t>Form of Warrant Agreement (including form of Warrant Certificate)</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4.6 **</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r>
              <w:rPr/>
              <w:t>Form of Unit Agreement (including form of Unit Certificate)</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4.7 **</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r>
              <w:rPr/>
              <w:t>Form of Rights Agreement (including form of Rights Certificate)</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4.8</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2">
              <w:r>
                <w:rPr>
                  <w:rStyle w:val="InternetLink"/>
                </w:rPr>
                <w:t xml:space="preserve">Indenture of Trust between Clark County, Nevada and Harris Trust and Savings Bank, as Trustee, dated December  1, 1993, relating to Clark County, Nevada Industrial Development Revenue Bonds 1993 Series A. Incorporated by reference to Exhibit 4.10 to Southwest Gas Corporations Annual Report on Form 10-K dated March 30, 1994.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4.9</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3">
              <w:r>
                <w:rPr>
                  <w:rStyle w:val="InternetLink"/>
                </w:rPr>
                <w:t xml:space="preserve">Indenture of Trust between City of Big Bear Lake and Harris Trust and Savings Bank, as Trustee, dated December  1, 1993, relating to City of Big Bear Lake Industrial Development Revenue Bonds 1993 Series A. Incorporated by reference to Exhibit 4.11 to Southwest Gas Corporations Annual Report on Form 10-K dated March 30, 1994.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4.10</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4">
              <w:r>
                <w:rPr>
                  <w:rStyle w:val="InternetLink"/>
                </w:rPr>
                <w:t xml:space="preserve">Amended and Restated Declaration of Trust of Southwest Gas Capital I, dated October  26, 1995. Incorporated by reference to Exhibit4.06 to Southwest Gas Corporations Current Report on Form 8-K dated October 31, 1995.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4.11</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5">
              <w:r>
                <w:rPr>
                  <w:rStyle w:val="InternetLink"/>
                </w:rPr>
                <w:t xml:space="preserve">Subordinated Debt Securities Indenture between Southwest Gas Corporation and Harris Trust and Savings Bank, dated as of October  31, 1995. Incorporated by reference to Exhibit 4.07 to Southwest Gas Corporations Quarterly Report on Form 10-Q dated November 9, 1995.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4.12</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6">
              <w:r>
                <w:rPr>
                  <w:rStyle w:val="InternetLink"/>
                </w:rPr>
                <w:t xml:space="preserve">First Supplemental Indenture between the Company and Harris Trust and Savings Bank, dated as of October  31, 1995. Incorporated by reference to Exhibit 4.07 to Southwest Gas Corporations Quarterly Report on Form 10-Q dated November 9, 1995.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4.13</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7">
              <w:r>
                <w:rPr>
                  <w:rStyle w:val="InternetLink"/>
                </w:rPr>
                <w:t xml:space="preserve">Indenture between Southwest Gas Corporation and Harris Trust and Savings Bank, dated as of July  15, 1996. Incorporated by reference to Exhibit 4.04 to Southwest Gas Corporations Current Report on Form 8-K dated July 26, 1996.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4.14</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8">
              <w:r>
                <w:rPr>
                  <w:rStyle w:val="InternetLink"/>
                </w:rPr>
                <w:t xml:space="preserve">First Supplemental Indenture between Southwest Gas Corporation and Harris Trust and Savings Bank, dated as of August  1, 1996. Incorporated by reference to Exhibit 4.11 to Southwest Gas Corporations Current Report on Form 8-K dated August 5, 1996.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4.15</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49">
              <w:r>
                <w:rPr>
                  <w:rStyle w:val="InternetLink"/>
                </w:rPr>
                <w:t xml:space="preserve">Second Supplemental Indenture between Southwest Gas Corporation and Harris Trust and Savings Bank, dated as of December  30, 1996. Incorporated by reference to Exhibit 4.04 to Southwest Gas Corporations Current Report on Form 8-K dated December 30,1996. </w:t>
              </w:r>
            </w:hyperlink>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9337" w:type="dxa"/>
            <w:gridSpan w:val="2"/>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pPr>
            <w:r>
              <w:rPr/>
              <w:t>    </w:t>
            </w:r>
            <w:r>
              <w:rPr/>
              <w:t>4.16</w:t>
            </w:r>
          </w:p>
        </w:tc>
        <w:tc>
          <w:tcPr>
            <w:tcW w:w="411" w:type="dxa"/>
            <w:tcBorders/>
            <w:vAlign w:val="bottom"/>
          </w:tcPr>
          <w:p>
            <w:pPr>
              <w:pStyle w:val="TableContents"/>
              <w:bidi w:val="0"/>
              <w:spacing w:before="0" w:after="283"/>
              <w:jc w:val="left"/>
              <w:rPr/>
            </w:pPr>
            <w:r>
              <w:rPr/>
              <w:t>  </w:t>
            </w:r>
          </w:p>
        </w:tc>
        <w:tc>
          <w:tcPr>
            <w:tcW w:w="8926" w:type="dxa"/>
            <w:tcBorders/>
          </w:tcPr>
          <w:p>
            <w:pPr>
              <w:pStyle w:val="TableContents"/>
              <w:bidi w:val="0"/>
              <w:spacing w:before="0" w:after="283"/>
              <w:jc w:val="left"/>
              <w:rPr/>
            </w:pPr>
            <w:hyperlink r:id="rId50">
              <w:r>
                <w:rPr>
                  <w:rStyle w:val="InternetLink"/>
                </w:rPr>
                <w:t xml:space="preserve">Indenture of Trust between Clark County, Nevada, and Harris Trust and Savings Bank, as Trustee, dated December  1, 1993, relating to Clark County, Nevada, Industrial Development Revenue Bonds Series 1999A. Incorporated by reference to Exhibit 4.20 to Southwest Gas Corporations Annual Report on Form 10-K dated March 24, 2000.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87"/>
        <w:gridCol w:w="313"/>
        <w:gridCol w:w="9205"/>
      </w:tblGrid>
      <w:tr>
        <w:trPr/>
        <w:tc>
          <w:tcPr>
            <w:tcW w:w="687"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9205" w:type="dxa"/>
            <w:tcBorders/>
            <w:vAlign w:val="center"/>
          </w:tcPr>
          <w:p>
            <w:pPr>
              <w:pStyle w:val="TableContents"/>
              <w:bidi w:val="0"/>
              <w:spacing w:before="0" w:after="283"/>
              <w:jc w:val="left"/>
              <w:rPr>
                <w:sz w:val="4"/>
                <w:szCs w:val="4"/>
              </w:rPr>
            </w:pPr>
            <w:r>
              <w:rPr>
                <w:sz w:val="4"/>
                <w:szCs w:val="4"/>
              </w:rPr>
            </w:r>
          </w:p>
        </w:tc>
      </w:tr>
      <w:tr>
        <w:trPr/>
        <w:tc>
          <w:tcPr>
            <w:tcW w:w="6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13" w:type="dxa"/>
            <w:tcBorders/>
            <w:vAlign w:val="bottom"/>
          </w:tcPr>
          <w:p>
            <w:pPr>
              <w:pStyle w:val="TableContents"/>
              <w:bidi w:val="0"/>
              <w:spacing w:before="0" w:after="283"/>
              <w:jc w:val="left"/>
              <w:rPr/>
            </w:pPr>
            <w:r>
              <w:rPr/>
              <w:t>  </w:t>
            </w:r>
          </w:p>
        </w:tc>
        <w:tc>
          <w:tcPr>
            <w:tcW w:w="9205" w:type="dxa"/>
            <w:tcBorders/>
            <w:vAlign w:val="bottom"/>
          </w:tcPr>
          <w:p>
            <w:pPr>
              <w:pStyle w:val="TableContents"/>
              <w:bidi w:val="0"/>
              <w:spacing w:before="0" w:after="283"/>
              <w:jc w:val="left"/>
              <w:rPr>
                <w:b/>
              </w:rPr>
            </w:pPr>
            <w:r>
              <w:rPr>
                <w:b/>
              </w:rPr>
              <w:t>Description</w:t>
            </w:r>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4.17</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1">
              <w:r>
                <w:rPr>
                  <w:rStyle w:val="InternetLink"/>
                </w:rPr>
                <w:t xml:space="preserve">Third Supplemental Indenture between Southwest Gas Corporation and The Bank of New York, dated as of February  13, 2001. Incorporated by reference to Exhibit 4.01 to Southwest Gas Corporations Current Report on Form 8-K dated February 13, 2001.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4.18</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2">
              <w:r>
                <w:rPr>
                  <w:rStyle w:val="InternetLink"/>
                </w:rPr>
                <w:t xml:space="preserve">Fourth Supplemental Indenture between Southwest Gas Corporation and The Bank of New York, dated as of May  6, 2002. Incorporated by reference to Exhibit 4.01 to Southwest Gas Corporations Current Report on Form 8-K dated May 6, 2002.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4.19</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3">
              <w:r>
                <w:rPr>
                  <w:rStyle w:val="InternetLink"/>
                </w:rPr>
                <w:t xml:space="preserve">Form of Amended and Restated Trust Agreement dated as of August  25, 2003 of the Trust. Incorporated by reference to Exhibit 4.09 to Southwest Gas Corporations Current Report on Form 8-K dated August 22, 2003.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4.20</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4">
              <w:r>
                <w:rPr>
                  <w:rStyle w:val="InternetLink"/>
                </w:rPr>
                <w:t xml:space="preserve">Form of Guarantee Agreement dated as of August  25, 2003 with respect to the Preferred Trust Securities. Incorporated by reference to Exhibit 4.13 to Southwest Gas Corporations Current Report on Form 8-K dated August 22, 2003.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4.21</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5">
              <w:r>
                <w:rPr>
                  <w:rStyle w:val="InternetLink"/>
                </w:rPr>
                <w:t xml:space="preserve">Form of Indenture dated as of August  25, 2003 with respect to the 7.70% Junior Subordinated Debentures of the Company. Incorporated by reference to Exhibit 4.14 to Southwest Gas Corporations Current Report on Form 8-K dated August  22, 2003.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4.22</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6">
              <w:r>
                <w:rPr>
                  <w:rStyle w:val="InternetLink"/>
                </w:rPr>
                <w:t xml:space="preserve">Indenture of Trust between Clark County, Nevada and The Bank of New York Mellon Trust Company, N.A., as Trustee, dated as of July  1, 2004, relating to Clark County, Nevada Industrial Development Revenue Bonds Series 2004A. Incorporated by reference to Exhibit 4 to Southwest Gas Corporations Quarterly Report on Form 10-Q dated November 8, 2004.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4.23</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7">
              <w:r>
                <w:rPr>
                  <w:rStyle w:val="InternetLink"/>
                </w:rPr>
                <w:t xml:space="preserve">Indenture of Trust between Clark County, Nevada and The Bank of New York Mellon Trust Company, N.A., as Trustee, dated as of October  1, 2004, relating to Clark County, Nevada Industrial Development Revenue Bonds Series 2004B. Incorporated by reference to Exhibit 4 to Southwest Gas Corporations Annual Report on Form 10-K dated March 15, 2005.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4.24</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8">
              <w:r>
                <w:rPr>
                  <w:rStyle w:val="InternetLink"/>
                </w:rPr>
                <w:t xml:space="preserve">Indenture of Trust between Clark County, Nevada and The Bank of New York Mellon Trust Company, N.A., as Trustee, dated as of October  1, 2005, relating to Clark County, Nevada Industrial Development Revenue Bonds Series 2005A. Incorporated by reference to Exhibit 4 to Southwest Gas Corporations Quarterly Report on Form 10-Q dated November 8, 2005.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4.25</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59">
              <w:r>
                <w:rPr>
                  <w:rStyle w:val="InternetLink"/>
                </w:rPr>
                <w:t xml:space="preserve">Indenture of Trust between Clark County, Nevada and The Bank of New York Mellon Trust Company, N.A., as Trustee, dated as of September  1, 2006, relating to Clark County, Nevada Industrial Development Revenue Bonds Series 2006A. Incorporated by reference to Exhibit 4 to Southwest Gas Corporations Quarterly Report on Form 10-Q dated November 6, 2006.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4.26</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60">
              <w:r>
                <w:rPr>
                  <w:rStyle w:val="InternetLink"/>
                </w:rPr>
                <w:t xml:space="preserve">Indenture of Trust between Clark County, Nevada and The Bank of New York Mellon Trust Company, N.A., as Trustee, dated as of December  1, 2009, relating to Clark County, Nevada Industrial Development Revenue Bonds Series 2009A. Incorporated by reference to Exhibit 4.27 to Southwest Gas Corporations Annual Report on Form 10-K dated February 26, 2010.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4.27</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61">
              <w:r>
                <w:rPr>
                  <w:rStyle w:val="InternetLink"/>
                </w:rPr>
                <w:t xml:space="preserve">Indenture, dated as of March  23, 2012, by and between Southwest Gas Corporation and The Bank of New York Mellon Trust Company, N.A., as Trustee. Incorporated by reference to Exhibit 4.1 to Southwest Gas Corporations Current Report on Form 8-K dated March 23, 2012.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4.28</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62">
              <w:r>
                <w:rPr>
                  <w:rStyle w:val="InternetLink"/>
                </w:rPr>
                <w:t xml:space="preserve">Indenture, dated as of October  4, 2013, by and between Southwest Gas Corporation and The Bank of New York Mellon Trust Company, N.A., as Trustee. Incorporated by reference to Exhibit 4.1 to Southwest Gas Corporations Current Report on Form 8-K dated October 4, 2013.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4.29</w:t>
            </w:r>
          </w:p>
        </w:tc>
        <w:tc>
          <w:tcPr>
            <w:tcW w:w="313" w:type="dxa"/>
            <w:tcBorders/>
            <w:vAlign w:val="bottom"/>
          </w:tcPr>
          <w:p>
            <w:pPr>
              <w:pStyle w:val="TableContents"/>
              <w:bidi w:val="0"/>
              <w:spacing w:before="0" w:after="283"/>
              <w:jc w:val="left"/>
              <w:rPr/>
            </w:pPr>
            <w:r>
              <w:rPr/>
              <w:t>  </w:t>
            </w:r>
          </w:p>
        </w:tc>
        <w:tc>
          <w:tcPr>
            <w:tcW w:w="9205" w:type="dxa"/>
            <w:tcBorders/>
          </w:tcPr>
          <w:p>
            <w:pPr>
              <w:pStyle w:val="TableContents"/>
              <w:bidi w:val="0"/>
              <w:spacing w:before="0" w:after="283"/>
              <w:jc w:val="left"/>
              <w:rPr/>
            </w:pPr>
            <w:hyperlink r:id="rId63">
              <w:r>
                <w:rPr>
                  <w:rStyle w:val="InternetLink"/>
                </w:rPr>
                <w:t xml:space="preserve">Indenture, dated as of September  29, 2016, by and between Southwest Gas Corporation and The Bank of New York Mellon Trust Company, N.A., as Trustee. Incorporated by reference to Exhibit 4.1 to Southwest Gas Corporations Current Report on Form 8-K dated September 29, 2016.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758"/>
        <w:gridCol w:w="314"/>
        <w:gridCol w:w="9133"/>
      </w:tblGrid>
      <w:tr>
        <w:trPr/>
        <w:tc>
          <w:tcPr>
            <w:tcW w:w="75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sz w:val="4"/>
                <w:szCs w:val="4"/>
              </w:rPr>
            </w:pPr>
            <w:r>
              <w:rPr>
                <w:sz w:val="4"/>
                <w:szCs w:val="4"/>
              </w:rPr>
            </w:r>
          </w:p>
        </w:tc>
      </w:tr>
      <w:tr>
        <w:trPr/>
        <w:tc>
          <w:tcPr>
            <w:tcW w:w="7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14" w:type="dxa"/>
            <w:tcBorders/>
            <w:vAlign w:val="bottom"/>
          </w:tcPr>
          <w:p>
            <w:pPr>
              <w:pStyle w:val="TableContents"/>
              <w:bidi w:val="0"/>
              <w:spacing w:before="0" w:after="283"/>
              <w:jc w:val="left"/>
              <w:rPr/>
            </w:pPr>
            <w:r>
              <w:rPr/>
              <w:t>  </w:t>
            </w:r>
          </w:p>
        </w:tc>
        <w:tc>
          <w:tcPr>
            <w:tcW w:w="9133" w:type="dxa"/>
            <w:tcBorders/>
            <w:vAlign w:val="bottom"/>
          </w:tcPr>
          <w:p>
            <w:pPr>
              <w:pStyle w:val="TableContents"/>
              <w:bidi w:val="0"/>
              <w:spacing w:before="0" w:after="283"/>
              <w:jc w:val="left"/>
              <w:rPr>
                <w:b/>
              </w:rPr>
            </w:pPr>
            <w:r>
              <w:rPr>
                <w:b/>
              </w:rPr>
              <w:t>Description</w:t>
            </w:r>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4.30</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4">
              <w:r>
                <w:rPr>
                  <w:rStyle w:val="InternetLink"/>
                </w:rPr>
                <w:t xml:space="preserve">Indenture, dated as of March  15, 2018, by and between Southwest Gas Corporation and The Bank of New York Mellon Trust Company, N.A., as Trustee. Incorporated by reference to Exhibit 4.1 to Southwest Gas Corporations Current Report on Form 8-K dated March 15, 2018.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4.31</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5">
              <w:r>
                <w:rPr>
                  <w:rStyle w:val="InternetLink"/>
                </w:rPr>
                <w:t xml:space="preserve">Indenture, dated as of March  15, 2018, by and between Southwest Gas Corporation and The Bank of New York Mellon Trust Company, N.A., as Trustee. Incorporated by reference to Exhibit 4.1 to Southwest Gas Corporations Current Report on Form 8-K dated March 15, 2018.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4.32</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6">
              <w:r>
                <w:rPr>
                  <w:rStyle w:val="InternetLink"/>
                </w:rPr>
                <w:t xml:space="preserve">First Supplemental Indenture, dated as of March  15, 2018, by and between Southwest Gas Corporation and The Bank of New York Mellon Trust Company, N.A., as Trustee. Incorporated by reference to Exhibit 4.2 to Southwest Gas Corporations Current Report on Form 8-K dated March 15, 2018.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4.33</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7">
              <w:r>
                <w:rPr>
                  <w:rStyle w:val="InternetLink"/>
                </w:rPr>
                <w:t xml:space="preserve">Indenture, dated as of May  31, 2019, by and between Southwest Gas Corporation and The Bank of New York Mellon Trust Company, N.A., as Trustee. Incorporated by reference to Exhibit 4.1 to Southwest Gas Corporations Current Report on Form 8-K dated May 31, 2019.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4.34</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8">
              <w:r>
                <w:rPr>
                  <w:rStyle w:val="InternetLink"/>
                </w:rPr>
                <w:t xml:space="preserve">First Supplemental Indenture, dated as of May  31, 2019, by and between Southwest Gas Corporation and The Bank of New York Mellon Trust Company, N.A., as Trustee. Incorporated by reference to Exhibit 4.2 to Southwest Gas Corporations Current Report on Form 8-K dated May 31, 2019.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4.35</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69">
              <w:r>
                <w:rPr>
                  <w:rStyle w:val="InternetLink"/>
                </w:rPr>
                <w:t xml:space="preserve">Indenture, dated as of June  4, 2020, by and between Southwest Gas Corporation and The Bank of New York Mellon Trust Company, N.A., as Trustee. Incorporated by reference to Exhibit 4.1 to Southwest Gas Corporations Current Report on Form 8-K dated June 4, 2020.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4.36</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0">
              <w:r>
                <w:rPr>
                  <w:rStyle w:val="InternetLink"/>
                </w:rPr>
                <w:t xml:space="preserve">First Supplemental Indenture, dated as of June  4, 2020, by and between Southwest Gas Corporation and The Bank of New York Mellon Trust Company, N.A., as Trustee. Incorporated by reference to Exhibit 4.2 to Southwest Gas Corporations Current Report on Form 8-K dated June 4, 2020.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4.37</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1">
              <w:r>
                <w:rPr>
                  <w:rStyle w:val="InternetLink"/>
                </w:rPr>
                <w:t xml:space="preserve">Second Supplemental Indenture, dated as of August  20, 2021, by and between Southwest Gas Corporation and The Bank of New York Mellon Trust Company, N.A., as Trustee. Incorporated by reference to Exhibit 4.1 to Southwest Gas Corporations Current Report on Form 8-K dated August 18, 2021.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4.38</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2">
              <w:r>
                <w:rPr>
                  <w:rStyle w:val="InternetLink"/>
                </w:rPr>
                <w:t xml:space="preserve">Third Supplemental Indenture, dated as of March  22, 2022, by and between Southwest Gas Corporation and The Bank of New York Mellon Trust Company, N.A., as Trustee. Incorporated by reference to Exhibit 4.1 to Southwest Gas Corporations Current Report on Form 8-K dated March 17, 2022.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4.39</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3">
              <w:r>
                <w:rPr>
                  <w:rStyle w:val="InternetLink"/>
                </w:rPr>
                <w:t xml:space="preserve">Fourth Supplemental Indenture, dated as of December  1, 2022, by and between Southwest Gas Corporation and The Bank of New York Mellon Trust Company, N.A., as Trustee. Incorporated by reference to Exhibit 4.1 to Southwest Gas Corporations Current Report on Form 8-K dated November 29, 2022.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4.40</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4">
              <w:r>
                <w:rPr>
                  <w:rStyle w:val="InternetLink"/>
                </w:rPr>
                <w:t xml:space="preserve">Fifth Supplemental Indenture, dated as of March  23, 2023, by and between Southwest Gas Corporation and The Bank of New York Mellon Trust Company, N.A., as Trustee. Incorporated by reference to exhibit 4.1 to Southwest Gas Corporations Current Report on Form 8-K dated March 23, 2023.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4.41</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5">
              <w:r>
                <w:rPr>
                  <w:rStyle w:val="InternetLink"/>
                </w:rPr>
                <w:t xml:space="preserve">Tax-Free Spin Protection Plan, dated November  5, 2023, between Southwest Gas Holdings, Inc. and Equiniti Trust Company, LLC, as Rights Agent. Incorporated by reference to Exhibit 4.1 to the Registrants Current Report on Form 8-K dated November  6, 2023.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4.42</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r:id="rId76">
              <w:r>
                <w:rPr>
                  <w:rStyle w:val="InternetLink"/>
                </w:rPr>
                <w:t xml:space="preserve">Certificate of Designations of the Series A Junior Participating Preferred Stock. Incorporated by reference to Exhibit 3.1 to the Registrants Current Report on Form 8-K dated November 6, 2023.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5.1 *</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w:anchor="d899567dex51.htm">
              <w:r>
                <w:rPr>
                  <w:rStyle w:val="InternetLink"/>
                </w:rPr>
                <w:t xml:space="preserve">Opinion of Morrison &amp; Foerster LLP </w:t>
              </w:r>
            </w:hyperlink>
          </w:p>
        </w:tc>
      </w:tr>
      <w:tr>
        <w:trPr>
          <w:trHeight w:val="120" w:hRule="atLeast"/>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tcPr>
          <w:p>
            <w:pPr>
              <w:pStyle w:val="TableContents"/>
              <w:bidi w:val="0"/>
              <w:spacing w:before="0" w:after="283"/>
              <w:jc w:val="left"/>
              <w:rPr/>
            </w:pPr>
            <w:r>
              <w:rPr/>
              <w:t>  </w:t>
            </w:r>
            <w:r>
              <w:rPr/>
              <w:t>23.1 *</w:t>
            </w:r>
          </w:p>
        </w:tc>
        <w:tc>
          <w:tcPr>
            <w:tcW w:w="314" w:type="dxa"/>
            <w:tcBorders/>
            <w:vAlign w:val="bottom"/>
          </w:tcPr>
          <w:p>
            <w:pPr>
              <w:pStyle w:val="TableContents"/>
              <w:bidi w:val="0"/>
              <w:spacing w:before="0" w:after="283"/>
              <w:jc w:val="left"/>
              <w:rPr/>
            </w:pPr>
            <w:r>
              <w:rPr/>
              <w:t>  </w:t>
            </w:r>
          </w:p>
        </w:tc>
        <w:tc>
          <w:tcPr>
            <w:tcW w:w="9133" w:type="dxa"/>
            <w:tcBorders/>
          </w:tcPr>
          <w:p>
            <w:pPr>
              <w:pStyle w:val="TableContents"/>
              <w:bidi w:val="0"/>
              <w:spacing w:before="0" w:after="283"/>
              <w:jc w:val="left"/>
              <w:rPr/>
            </w:pPr>
            <w:hyperlink w:anchor="d899567dex51.htm">
              <w:r>
                <w:rPr>
                  <w:rStyle w:val="InternetLink"/>
                </w:rPr>
                <w:t xml:space="preserve">Consent of Morrison &amp; Foerster LLP (included in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756"/>
        <w:gridCol w:w="404"/>
        <w:gridCol w:w="9045"/>
      </w:tblGrid>
      <w:tr>
        <w:trPr/>
        <w:tc>
          <w:tcPr>
            <w:tcW w:w="756"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7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404" w:type="dxa"/>
            <w:tcBorders/>
            <w:vAlign w:val="bottom"/>
          </w:tcPr>
          <w:p>
            <w:pPr>
              <w:pStyle w:val="TableContents"/>
              <w:bidi w:val="0"/>
              <w:spacing w:before="0" w:after="283"/>
              <w:jc w:val="left"/>
              <w:rPr/>
            </w:pPr>
            <w:r>
              <w:rPr/>
              <w:t>  </w:t>
            </w:r>
          </w:p>
        </w:tc>
        <w:tc>
          <w:tcPr>
            <w:tcW w:w="9045" w:type="dxa"/>
            <w:tcBorders/>
            <w:vAlign w:val="bottom"/>
          </w:tcPr>
          <w:p>
            <w:pPr>
              <w:pStyle w:val="TableContents"/>
              <w:bidi w:val="0"/>
              <w:spacing w:before="0" w:after="283"/>
              <w:jc w:val="left"/>
              <w:rPr>
                <w:b/>
              </w:rPr>
            </w:pPr>
            <w:r>
              <w:rPr>
                <w:b/>
              </w:rPr>
              <w:t>Description</w:t>
            </w:r>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23.2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32.htm">
              <w:r>
                <w:rPr>
                  <w:rStyle w:val="InternetLink"/>
                </w:rPr>
                <w:t xml:space="preserve">Consent of PricewaterhouseCoopers LLP for Southwest Gas Holdings, Inc.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23.3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33.htm">
              <w:r>
                <w:rPr>
                  <w:rStyle w:val="InternetLink"/>
                </w:rPr>
                <w:t xml:space="preserve">Consent of PricewaterhouseCoopers LLP for Southwest Gas Corporation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24.1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41.htm">
              <w:r>
                <w:rPr>
                  <w:rStyle w:val="InternetLink"/>
                </w:rPr>
                <w:t xml:space="preserve">Powers of Attorney for Southwest Gas Holdings, Inc.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24.2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42.htm">
              <w:r>
                <w:rPr>
                  <w:rStyle w:val="InternetLink"/>
                </w:rPr>
                <w:t xml:space="preserve">Powers of Attorney for Southwest Gas Corporation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25.1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51.htm">
              <w:r>
                <w:rPr>
                  <w:rStyle w:val="InternetLink"/>
                </w:rPr>
                <w:t xml:space="preserve">Statement of Eligibility under the Trust Indenture Act of 1939, as amended on Form T-1 of The Bank of New York Mellon Trust Company, N.A. for the form of Indenture of Southwest Gas Holdings, Inc.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  </w:t>
            </w:r>
            <w:r>
              <w:rPr/>
              <w:t>25.2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252.htm">
              <w:r>
                <w:rPr>
                  <w:rStyle w:val="InternetLink"/>
                </w:rPr>
                <w:t xml:space="preserve">Statement of Eligibility under the Trust Indenture Act of 1939, as amended on Form T-1 of The Bank of New York Mellon Trust Company, N.A. for the Indenture of Southwest Gas Corporation dated June 4, 2020. </w:t>
              </w:r>
            </w:hyperlink>
          </w:p>
        </w:tc>
      </w:tr>
      <w:tr>
        <w:trPr>
          <w:trHeight w:val="120" w:hRule="atLeast"/>
        </w:trPr>
        <w:tc>
          <w:tcPr>
            <w:tcW w:w="756" w:type="dxa"/>
            <w:tcBorders/>
            <w:vAlign w:val="center"/>
          </w:tcPr>
          <w:p>
            <w:pPr>
              <w:pStyle w:val="TableContents"/>
              <w:bidi w:val="0"/>
              <w:spacing w:before="0" w:after="283"/>
              <w:jc w:val="left"/>
              <w:rPr>
                <w:sz w:val="4"/>
                <w:szCs w:val="4"/>
              </w:rPr>
            </w:pPr>
            <w:r>
              <w:rPr>
                <w:sz w:val="4"/>
                <w:szCs w:val="4"/>
              </w:rPr>
            </w:r>
          </w:p>
        </w:tc>
        <w:tc>
          <w:tcPr>
            <w:tcW w:w="9449"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107    *</w:t>
            </w:r>
          </w:p>
        </w:tc>
        <w:tc>
          <w:tcPr>
            <w:tcW w:w="404" w:type="dxa"/>
            <w:tcBorders/>
            <w:vAlign w:val="bottom"/>
          </w:tcPr>
          <w:p>
            <w:pPr>
              <w:pStyle w:val="TableContents"/>
              <w:bidi w:val="0"/>
              <w:spacing w:before="0" w:after="283"/>
              <w:jc w:val="left"/>
              <w:rPr/>
            </w:pPr>
            <w:r>
              <w:rPr/>
              <w:t>  </w:t>
            </w:r>
          </w:p>
        </w:tc>
        <w:tc>
          <w:tcPr>
            <w:tcW w:w="9045" w:type="dxa"/>
            <w:tcBorders/>
          </w:tcPr>
          <w:p>
            <w:pPr>
              <w:pStyle w:val="TableContents"/>
              <w:bidi w:val="0"/>
              <w:spacing w:before="0" w:after="283"/>
              <w:jc w:val="left"/>
              <w:rPr/>
            </w:pPr>
            <w:hyperlink w:anchor="d899567dexfilingfees.htm">
              <w:r>
                <w:rPr>
                  <w:rStyle w:val="InternetLink"/>
                </w:rPr>
                <w:t xml:space="preserve">Filing Fee Table </w:t>
              </w:r>
            </w:hyperlink>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as an exhibit to a Current Report on Form 8-K or other document incorporated by reference herein or to a post-effective amendment hereto,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 w:hAnsi="Times New Roman"/>
          <w:i/>
          <w:sz w:val="20"/>
        </w:rPr>
        <w:t>provided, however</w:t>
      </w:r>
      <w:r>
        <w:rPr>
          <w:rFonts w:ascii="Times New Roman" w:hAnsi="Times New Roman"/>
          <w:sz w:val="20"/>
        </w:rPr>
        <w:t xml:space="preserve">, that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November 28,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SOUTHWEST GAS HOLDINGS,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Karen S. Haller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Karen S. Haller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below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38"/>
        <w:gridCol w:w="120"/>
        <w:gridCol w:w="4438"/>
        <w:gridCol w:w="199"/>
        <w:gridCol w:w="2110"/>
      </w:tblGrid>
      <w:tr>
        <w:trPr/>
        <w:tc>
          <w:tcPr>
            <w:tcW w:w="33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38"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33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4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2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Karen S. Haller</w:t>
            </w:r>
          </w:p>
          <w:p>
            <w:pPr>
              <w:pStyle w:val="TableContents"/>
              <w:bidi w:val="0"/>
              <w:spacing w:before="0" w:after="20"/>
              <w:jc w:val="left"/>
              <w:rPr>
                <w:rFonts w:ascii="Times New Roman" w:hAnsi="Times New Roman"/>
                <w:sz w:val="18"/>
              </w:rPr>
            </w:pPr>
            <w:r>
              <w:rPr>
                <w:rFonts w:ascii="Times New Roman" w:hAnsi="Times New Roman"/>
                <w:sz w:val="18"/>
              </w:rPr>
              <w:t>Karen S. Haller</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 President and Chief Executive Officer (Principal Executive Officer)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Robert J. Stefani</w:t>
            </w:r>
          </w:p>
          <w:p>
            <w:pPr>
              <w:pStyle w:val="TableContents"/>
              <w:bidi w:val="0"/>
              <w:spacing w:before="0" w:after="20"/>
              <w:jc w:val="left"/>
              <w:rPr>
                <w:rFonts w:ascii="Times New Roman" w:hAnsi="Times New Roman"/>
                <w:sz w:val="18"/>
              </w:rPr>
            </w:pPr>
            <w:r>
              <w:rPr>
                <w:rFonts w:ascii="Times New Roman" w:hAnsi="Times New Roman"/>
                <w:sz w:val="18"/>
              </w:rPr>
              <w:t>Robert J. Stefani</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Senior Vice President/ Chief Financial Officer (Principal Financial Officer)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Lori L. Colvin</w:t>
            </w:r>
          </w:p>
          <w:p>
            <w:pPr>
              <w:pStyle w:val="TableContents"/>
              <w:bidi w:val="0"/>
              <w:spacing w:before="0" w:after="20"/>
              <w:jc w:val="left"/>
              <w:rPr>
                <w:rFonts w:ascii="Times New Roman" w:hAnsi="Times New Roman"/>
                <w:sz w:val="18"/>
              </w:rPr>
            </w:pPr>
            <w:r>
              <w:rPr>
                <w:rFonts w:ascii="Times New Roman" w:hAnsi="Times New Roman"/>
                <w:sz w:val="18"/>
              </w:rPr>
              <w:t>Lori L. Colvin</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Vice President/Controller/Chief Accounting Officer (Principal Accounting Officer)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E. Renae Conley*</w:t>
            </w:r>
          </w:p>
          <w:p>
            <w:pPr>
              <w:pStyle w:val="TableContents"/>
              <w:bidi w:val="0"/>
              <w:spacing w:before="0" w:after="20"/>
              <w:jc w:val="left"/>
              <w:rPr>
                <w:rFonts w:ascii="Times New Roman" w:hAnsi="Times New Roman"/>
                <w:sz w:val="18"/>
              </w:rPr>
            </w:pPr>
            <w:r>
              <w:rPr>
                <w:rFonts w:ascii="Times New Roman" w:hAnsi="Times New Roman"/>
                <w:sz w:val="18"/>
              </w:rPr>
              <w:t>E. Renae Conley</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Andrew W. Evans*</w:t>
            </w:r>
          </w:p>
          <w:p>
            <w:pPr>
              <w:pStyle w:val="TableContents"/>
              <w:bidi w:val="0"/>
              <w:spacing w:before="0" w:after="20"/>
              <w:jc w:val="left"/>
              <w:rPr>
                <w:rFonts w:ascii="Times New Roman" w:hAnsi="Times New Roman"/>
                <w:sz w:val="18"/>
              </w:rPr>
            </w:pPr>
            <w:r>
              <w:rPr>
                <w:rFonts w:ascii="Times New Roman" w:hAnsi="Times New Roman"/>
                <w:sz w:val="18"/>
              </w:rPr>
              <w:t>Andrew W. Evans</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Jane Lewis-Raymond*</w:t>
            </w:r>
          </w:p>
          <w:p>
            <w:pPr>
              <w:pStyle w:val="TableContents"/>
              <w:bidi w:val="0"/>
              <w:spacing w:before="0" w:after="20"/>
              <w:jc w:val="left"/>
              <w:rPr>
                <w:rFonts w:ascii="Times New Roman" w:hAnsi="Times New Roman"/>
                <w:sz w:val="18"/>
              </w:rPr>
            </w:pPr>
            <w:r>
              <w:rPr>
                <w:rFonts w:ascii="Times New Roman" w:hAnsi="Times New Roman"/>
                <w:sz w:val="18"/>
              </w:rPr>
              <w:t>Jane Lewis-Raymond</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Henry P. Linginfelter*</w:t>
            </w:r>
          </w:p>
          <w:p>
            <w:pPr>
              <w:pStyle w:val="TableContents"/>
              <w:bidi w:val="0"/>
              <w:spacing w:before="0" w:after="20"/>
              <w:jc w:val="left"/>
              <w:rPr>
                <w:rFonts w:ascii="Times New Roman" w:hAnsi="Times New Roman"/>
                <w:sz w:val="18"/>
              </w:rPr>
            </w:pPr>
            <w:r>
              <w:rPr>
                <w:rFonts w:ascii="Times New Roman" w:hAnsi="Times New Roman"/>
                <w:sz w:val="18"/>
              </w:rPr>
              <w:t>Henry P. Linginfelter</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Anne L. Mariucci*</w:t>
            </w:r>
          </w:p>
          <w:p>
            <w:pPr>
              <w:pStyle w:val="TableContents"/>
              <w:bidi w:val="0"/>
              <w:spacing w:before="0" w:after="20"/>
              <w:jc w:val="left"/>
              <w:rPr>
                <w:rFonts w:ascii="Times New Roman" w:hAnsi="Times New Roman"/>
                <w:sz w:val="18"/>
              </w:rPr>
            </w:pPr>
            <w:r>
              <w:rPr>
                <w:rFonts w:ascii="Times New Roman" w:hAnsi="Times New Roman"/>
                <w:sz w:val="18"/>
              </w:rPr>
              <w:t>Anne L. Mariucci</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Carlos A. Ruisanchez*</w:t>
            </w:r>
          </w:p>
          <w:p>
            <w:pPr>
              <w:pStyle w:val="TableContents"/>
              <w:bidi w:val="0"/>
              <w:spacing w:before="0" w:after="20"/>
              <w:jc w:val="left"/>
              <w:rPr>
                <w:rFonts w:ascii="Times New Roman" w:hAnsi="Times New Roman"/>
                <w:sz w:val="18"/>
              </w:rPr>
            </w:pPr>
            <w:r>
              <w:rPr>
                <w:rFonts w:ascii="Times New Roman" w:hAnsi="Times New Roman"/>
                <w:sz w:val="18"/>
              </w:rPr>
              <w:t>Carlos A. Ruisanchez</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Ruby Sharma*</w:t>
            </w:r>
          </w:p>
          <w:p>
            <w:pPr>
              <w:pStyle w:val="TableContents"/>
              <w:bidi w:val="0"/>
              <w:spacing w:before="0" w:after="20"/>
              <w:jc w:val="left"/>
              <w:rPr>
                <w:rFonts w:ascii="Times New Roman" w:hAnsi="Times New Roman"/>
                <w:sz w:val="18"/>
              </w:rPr>
            </w:pPr>
            <w:r>
              <w:rPr>
                <w:rFonts w:ascii="Times New Roman" w:hAnsi="Times New Roman"/>
                <w:sz w:val="18"/>
              </w:rPr>
              <w:t>Ruby Sharma</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Andrew J. Teno*</w:t>
            </w:r>
          </w:p>
          <w:p>
            <w:pPr>
              <w:pStyle w:val="TableContents"/>
              <w:bidi w:val="0"/>
              <w:spacing w:before="0" w:after="20"/>
              <w:jc w:val="left"/>
              <w:rPr>
                <w:rFonts w:ascii="Times New Roman" w:hAnsi="Times New Roman"/>
                <w:sz w:val="18"/>
              </w:rPr>
            </w:pPr>
            <w:r>
              <w:rPr>
                <w:rFonts w:ascii="Times New Roman" w:hAnsi="Times New Roman"/>
                <w:sz w:val="18"/>
              </w:rPr>
              <w:t>Andrew J. Teno</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A. Randall Thoman*</w:t>
            </w:r>
          </w:p>
          <w:p>
            <w:pPr>
              <w:pStyle w:val="TableContents"/>
              <w:bidi w:val="0"/>
              <w:spacing w:before="0" w:after="20"/>
              <w:jc w:val="left"/>
              <w:rPr>
                <w:rFonts w:ascii="Times New Roman" w:hAnsi="Times New Roman"/>
                <w:sz w:val="18"/>
              </w:rPr>
            </w:pPr>
            <w:r>
              <w:rPr>
                <w:rFonts w:ascii="Times New Roman" w:hAnsi="Times New Roman"/>
                <w:sz w:val="18"/>
              </w:rPr>
              <w:t>A. Randall Thoman</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r>
        <w:trPr>
          <w:trHeight w:val="240" w:hRule="atLeast"/>
        </w:trPr>
        <w:tc>
          <w:tcPr>
            <w:tcW w:w="3338" w:type="dxa"/>
            <w:tcBorders/>
            <w:vAlign w:val="center"/>
          </w:tcPr>
          <w:p>
            <w:pPr>
              <w:pStyle w:val="TableContents"/>
              <w:bidi w:val="0"/>
              <w:spacing w:before="0" w:after="283"/>
              <w:jc w:val="left"/>
              <w:rPr>
                <w:sz w:val="4"/>
                <w:szCs w:val="4"/>
              </w:rPr>
            </w:pPr>
            <w:r>
              <w:rPr>
                <w:sz w:val="4"/>
                <w:szCs w:val="4"/>
              </w:rPr>
            </w:r>
          </w:p>
        </w:tc>
        <w:tc>
          <w:tcPr>
            <w:tcW w:w="4558"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3338" w:type="dxa"/>
            <w:tcBorders/>
          </w:tcPr>
          <w:p>
            <w:pPr>
              <w:pStyle w:val="TableContents"/>
              <w:pBdr>
                <w:bottom w:val="single" w:sz="2" w:space="1" w:color="000000"/>
              </w:pBdr>
              <w:bidi w:val="0"/>
              <w:spacing w:before="0" w:after="0"/>
              <w:jc w:val="left"/>
              <w:rPr>
                <w:rFonts w:ascii="Times New Roman" w:hAnsi="Times New Roman"/>
                <w:sz w:val="18"/>
              </w:rPr>
            </w:pPr>
            <w:r>
              <w:rPr>
                <w:rFonts w:ascii="Times New Roman" w:hAnsi="Times New Roman"/>
                <w:sz w:val="18"/>
              </w:rPr>
              <w:t>/s/ Leslie T. Thornton*</w:t>
            </w:r>
          </w:p>
          <w:p>
            <w:pPr>
              <w:pStyle w:val="TableContents"/>
              <w:bidi w:val="0"/>
              <w:spacing w:before="0" w:after="20"/>
              <w:jc w:val="left"/>
              <w:rPr>
                <w:rFonts w:ascii="Times New Roman" w:hAnsi="Times New Roman"/>
                <w:sz w:val="18"/>
              </w:rPr>
            </w:pPr>
            <w:r>
              <w:rPr>
                <w:rFonts w:ascii="Times New Roman" w:hAnsi="Times New Roman"/>
                <w:sz w:val="18"/>
              </w:rPr>
              <w:t>Leslie T. Thornton</w:t>
            </w:r>
          </w:p>
        </w:tc>
        <w:tc>
          <w:tcPr>
            <w:tcW w:w="120" w:type="dxa"/>
            <w:tcBorders/>
            <w:vAlign w:val="bottom"/>
          </w:tcPr>
          <w:p>
            <w:pPr>
              <w:pStyle w:val="TableContents"/>
              <w:bidi w:val="0"/>
              <w:spacing w:before="0" w:after="283"/>
              <w:jc w:val="left"/>
              <w:rPr/>
            </w:pPr>
            <w:r>
              <w:rPr/>
              <w:t>  </w:t>
            </w:r>
          </w:p>
        </w:tc>
        <w:tc>
          <w:tcPr>
            <w:tcW w:w="4438"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110" w:type="dxa"/>
            <w:tcBorders/>
          </w:tcPr>
          <w:p>
            <w:pPr>
              <w:pStyle w:val="TableContents"/>
              <w:bidi w:val="0"/>
              <w:spacing w:before="0" w:after="283"/>
              <w:jc w:val="center"/>
              <w:rPr/>
            </w:pPr>
            <w:r>
              <w:rPr/>
              <w:t>November 28, 2023</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84"/>
        <w:gridCol w:w="60"/>
        <w:gridCol w:w="3738"/>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0"/>
              <w:jc w:val="left"/>
              <w:rPr>
                <w:rFonts w:ascii="Times New Roman" w:hAnsi="Times New Roman"/>
                <w:sz w:val="18"/>
              </w:rPr>
            </w:pPr>
            <w:r>
              <w:rPr>
                <w:rFonts w:ascii="Times New Roman" w:hAnsi="Times New Roman"/>
                <w:sz w:val="18"/>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38" w:type="dxa"/>
            <w:tcBorders>
              <w:bottom w:val="single" w:sz="2" w:space="0" w:color="000000"/>
            </w:tcBorders>
            <w:tcMar>
              <w:bottom w:w="28" w:type="dxa"/>
            </w:tcMar>
            <w:vAlign w:val="bottom"/>
          </w:tcPr>
          <w:p>
            <w:pPr>
              <w:pStyle w:val="TableContents"/>
              <w:bidi w:val="0"/>
              <w:spacing w:before="0" w:after="283"/>
              <w:jc w:val="left"/>
              <w:rPr/>
            </w:pPr>
            <w:r>
              <w:rPr/>
              <w:t>*By: /s/ Robert J. Stefani</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pPr>
            <w:r>
              <w:rPr/>
              <w:t>Robert J. Stefani</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November 28,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SOUTHWEST GAS CORPORATION</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Karen S. Haller</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Karen S. Haller</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below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73"/>
        <w:gridCol w:w="121"/>
        <w:gridCol w:w="4463"/>
        <w:gridCol w:w="201"/>
        <w:gridCol w:w="2147"/>
      </w:tblGrid>
      <w:tr>
        <w:trPr/>
        <w:tc>
          <w:tcPr>
            <w:tcW w:w="32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3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4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21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273" w:type="dxa"/>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c>
          <w:tcPr>
            <w:tcW w:w="2348" w:type="dxa"/>
            <w:gridSpan w:val="2"/>
            <w:tcBorders/>
            <w:vAlign w:val="center"/>
          </w:tcPr>
          <w:p>
            <w:pPr>
              <w:pStyle w:val="TableContents"/>
              <w:bidi w:val="0"/>
              <w:spacing w:before="0" w:after="283"/>
              <w:jc w:val="left"/>
              <w:rPr>
                <w:sz w:val="4"/>
                <w:szCs w:val="4"/>
              </w:rPr>
            </w:pPr>
            <w:r>
              <w:rPr>
                <w:sz w:val="4"/>
                <w:szCs w:val="4"/>
              </w:rPr>
            </w:r>
          </w:p>
        </w:tc>
      </w:tr>
      <w:tr>
        <w:trPr/>
        <w:tc>
          <w:tcPr>
            <w:tcW w:w="327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Karen S. Haller</w:t>
            </w:r>
          </w:p>
          <w:p>
            <w:pPr>
              <w:pStyle w:val="TableContents"/>
              <w:bidi w:val="0"/>
              <w:spacing w:before="0" w:after="20"/>
              <w:jc w:val="left"/>
              <w:rPr>
                <w:rFonts w:ascii="Times New Roman" w:hAnsi="Times New Roman"/>
                <w:sz w:val="20"/>
              </w:rPr>
            </w:pPr>
            <w:r>
              <w:rPr>
                <w:rFonts w:ascii="Times New Roman" w:hAnsi="Times New Roman"/>
                <w:sz w:val="20"/>
              </w:rPr>
              <w:t>Karen S. Haller</w:t>
            </w:r>
          </w:p>
        </w:tc>
        <w:tc>
          <w:tcPr>
            <w:tcW w:w="121" w:type="dxa"/>
            <w:tcBorders/>
            <w:vAlign w:val="bottom"/>
          </w:tcPr>
          <w:p>
            <w:pPr>
              <w:pStyle w:val="TableContents"/>
              <w:bidi w:val="0"/>
              <w:spacing w:before="0" w:after="283"/>
              <w:jc w:val="left"/>
              <w:rPr/>
            </w:pPr>
            <w:r>
              <w:rPr/>
              <w:t>  </w:t>
            </w:r>
          </w:p>
        </w:tc>
        <w:tc>
          <w:tcPr>
            <w:tcW w:w="4463" w:type="dxa"/>
            <w:tcBorders/>
          </w:tcPr>
          <w:p>
            <w:pPr>
              <w:pStyle w:val="TableContents"/>
              <w:bidi w:val="0"/>
              <w:spacing w:before="0" w:after="0"/>
              <w:jc w:val="center"/>
              <w:rPr>
                <w:rFonts w:ascii="Times New Roman" w:hAnsi="Times New Roman"/>
                <w:sz w:val="20"/>
              </w:rPr>
            </w:pPr>
            <w:r>
              <w:rPr>
                <w:rFonts w:ascii="Times New Roman" w:hAnsi="Times New Roman"/>
                <w:sz w:val="20"/>
              </w:rPr>
              <w:t>Director, Chief Executive Officer</w:t>
              <w:br/>
              <w:t>(Principal Executive Officer)</w:t>
            </w:r>
          </w:p>
        </w:tc>
        <w:tc>
          <w:tcPr>
            <w:tcW w:w="201" w:type="dxa"/>
            <w:tcBorders/>
            <w:vAlign w:val="bottom"/>
          </w:tcPr>
          <w:p>
            <w:pPr>
              <w:pStyle w:val="TableContents"/>
              <w:bidi w:val="0"/>
              <w:spacing w:before="0" w:after="283"/>
              <w:jc w:val="left"/>
              <w:rPr/>
            </w:pPr>
            <w:r>
              <w:rPr/>
              <w:t> </w:t>
            </w:r>
          </w:p>
        </w:tc>
        <w:tc>
          <w:tcPr>
            <w:tcW w:w="2147" w:type="dxa"/>
            <w:tcBorders/>
          </w:tcPr>
          <w:p>
            <w:pPr>
              <w:pStyle w:val="TableContents"/>
              <w:bidi w:val="0"/>
              <w:spacing w:before="0" w:after="283"/>
              <w:jc w:val="center"/>
              <w:rPr/>
            </w:pPr>
            <w:r>
              <w:rPr/>
              <w:t>November 28, 2023</w:t>
            </w:r>
          </w:p>
        </w:tc>
      </w:tr>
      <w:tr>
        <w:trPr>
          <w:trHeight w:val="240" w:hRule="atLeast"/>
        </w:trPr>
        <w:tc>
          <w:tcPr>
            <w:tcW w:w="3273" w:type="dxa"/>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c>
          <w:tcPr>
            <w:tcW w:w="2348" w:type="dxa"/>
            <w:gridSpan w:val="2"/>
            <w:tcBorders/>
            <w:vAlign w:val="center"/>
          </w:tcPr>
          <w:p>
            <w:pPr>
              <w:pStyle w:val="TableContents"/>
              <w:bidi w:val="0"/>
              <w:spacing w:before="0" w:after="283"/>
              <w:jc w:val="left"/>
              <w:rPr>
                <w:sz w:val="4"/>
                <w:szCs w:val="4"/>
              </w:rPr>
            </w:pPr>
            <w:r>
              <w:rPr>
                <w:sz w:val="4"/>
                <w:szCs w:val="4"/>
              </w:rPr>
            </w:r>
          </w:p>
        </w:tc>
      </w:tr>
      <w:tr>
        <w:trPr/>
        <w:tc>
          <w:tcPr>
            <w:tcW w:w="327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J. Stefani</w:t>
            </w:r>
          </w:p>
          <w:p>
            <w:pPr>
              <w:pStyle w:val="TableContents"/>
              <w:bidi w:val="0"/>
              <w:spacing w:before="0" w:after="20"/>
              <w:jc w:val="left"/>
              <w:rPr>
                <w:rFonts w:ascii="Times New Roman" w:hAnsi="Times New Roman"/>
                <w:sz w:val="20"/>
              </w:rPr>
            </w:pPr>
            <w:r>
              <w:rPr>
                <w:rFonts w:ascii="Times New Roman" w:hAnsi="Times New Roman"/>
                <w:sz w:val="20"/>
              </w:rPr>
              <w:t>Robert J. Stefani</w:t>
            </w:r>
          </w:p>
        </w:tc>
        <w:tc>
          <w:tcPr>
            <w:tcW w:w="121" w:type="dxa"/>
            <w:tcBorders/>
            <w:vAlign w:val="bottom"/>
          </w:tcPr>
          <w:p>
            <w:pPr>
              <w:pStyle w:val="TableContents"/>
              <w:bidi w:val="0"/>
              <w:spacing w:before="0" w:after="283"/>
              <w:jc w:val="left"/>
              <w:rPr/>
            </w:pPr>
            <w:r>
              <w:rPr/>
              <w:t>  </w:t>
            </w:r>
          </w:p>
        </w:tc>
        <w:tc>
          <w:tcPr>
            <w:tcW w:w="4463" w:type="dxa"/>
            <w:tcBorders/>
          </w:tcPr>
          <w:p>
            <w:pPr>
              <w:pStyle w:val="TableContents"/>
              <w:bidi w:val="0"/>
              <w:spacing w:before="0" w:after="0"/>
              <w:jc w:val="center"/>
              <w:rPr>
                <w:rFonts w:ascii="Times New Roman" w:hAnsi="Times New Roman"/>
                <w:sz w:val="20"/>
              </w:rPr>
            </w:pPr>
            <w:r>
              <w:rPr>
                <w:rFonts w:ascii="Times New Roman" w:hAnsi="Times New Roman"/>
                <w:sz w:val="20"/>
              </w:rPr>
              <w:t>Director, Senior Vice President/ Chief Financial Officer (Principal Financial Officer)</w:t>
            </w:r>
          </w:p>
        </w:tc>
        <w:tc>
          <w:tcPr>
            <w:tcW w:w="201" w:type="dxa"/>
            <w:tcBorders/>
            <w:vAlign w:val="bottom"/>
          </w:tcPr>
          <w:p>
            <w:pPr>
              <w:pStyle w:val="TableContents"/>
              <w:bidi w:val="0"/>
              <w:spacing w:before="0" w:after="283"/>
              <w:jc w:val="left"/>
              <w:rPr/>
            </w:pPr>
            <w:r>
              <w:rPr/>
              <w:t> </w:t>
            </w:r>
          </w:p>
        </w:tc>
        <w:tc>
          <w:tcPr>
            <w:tcW w:w="2147" w:type="dxa"/>
            <w:tcBorders/>
          </w:tcPr>
          <w:p>
            <w:pPr>
              <w:pStyle w:val="TableContents"/>
              <w:bidi w:val="0"/>
              <w:spacing w:before="0" w:after="283"/>
              <w:jc w:val="center"/>
              <w:rPr/>
            </w:pPr>
            <w:r>
              <w:rPr/>
              <w:t>November 28, 2023</w:t>
            </w:r>
          </w:p>
        </w:tc>
      </w:tr>
      <w:tr>
        <w:trPr>
          <w:trHeight w:val="240" w:hRule="atLeast"/>
        </w:trPr>
        <w:tc>
          <w:tcPr>
            <w:tcW w:w="3273" w:type="dxa"/>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c>
          <w:tcPr>
            <w:tcW w:w="2348" w:type="dxa"/>
            <w:gridSpan w:val="2"/>
            <w:tcBorders/>
            <w:vAlign w:val="center"/>
          </w:tcPr>
          <w:p>
            <w:pPr>
              <w:pStyle w:val="TableContents"/>
              <w:bidi w:val="0"/>
              <w:spacing w:before="0" w:after="283"/>
              <w:jc w:val="left"/>
              <w:rPr>
                <w:sz w:val="4"/>
                <w:szCs w:val="4"/>
              </w:rPr>
            </w:pPr>
            <w:r>
              <w:rPr>
                <w:sz w:val="4"/>
                <w:szCs w:val="4"/>
              </w:rPr>
            </w:r>
          </w:p>
        </w:tc>
      </w:tr>
      <w:tr>
        <w:trPr/>
        <w:tc>
          <w:tcPr>
            <w:tcW w:w="327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Lori L. Colvin</w:t>
            </w:r>
          </w:p>
          <w:p>
            <w:pPr>
              <w:pStyle w:val="TableContents"/>
              <w:bidi w:val="0"/>
              <w:spacing w:before="0" w:after="20"/>
              <w:jc w:val="left"/>
              <w:rPr>
                <w:rFonts w:ascii="Times New Roman" w:hAnsi="Times New Roman"/>
                <w:sz w:val="20"/>
              </w:rPr>
            </w:pPr>
            <w:r>
              <w:rPr>
                <w:rFonts w:ascii="Times New Roman" w:hAnsi="Times New Roman"/>
                <w:sz w:val="20"/>
              </w:rPr>
              <w:t>Lori L. Colvin</w:t>
            </w:r>
          </w:p>
        </w:tc>
        <w:tc>
          <w:tcPr>
            <w:tcW w:w="121" w:type="dxa"/>
            <w:tcBorders/>
            <w:vAlign w:val="bottom"/>
          </w:tcPr>
          <w:p>
            <w:pPr>
              <w:pStyle w:val="TableContents"/>
              <w:bidi w:val="0"/>
              <w:spacing w:before="0" w:after="283"/>
              <w:jc w:val="left"/>
              <w:rPr/>
            </w:pPr>
            <w:r>
              <w:rPr/>
              <w:t>  </w:t>
            </w:r>
          </w:p>
        </w:tc>
        <w:tc>
          <w:tcPr>
            <w:tcW w:w="4463" w:type="dxa"/>
            <w:tcBorders/>
          </w:tcPr>
          <w:p>
            <w:pPr>
              <w:pStyle w:val="TableContents"/>
              <w:bidi w:val="0"/>
              <w:spacing w:before="0" w:after="0"/>
              <w:jc w:val="center"/>
              <w:rPr>
                <w:rFonts w:ascii="Times New Roman" w:hAnsi="Times New Roman"/>
                <w:sz w:val="20"/>
              </w:rPr>
            </w:pPr>
            <w:r>
              <w:rPr>
                <w:rFonts w:ascii="Times New Roman" w:hAnsi="Times New Roman"/>
                <w:sz w:val="20"/>
              </w:rPr>
              <w:t>Vice President/Controller/Chief Accounting Officer (Principal Accounting Officer)</w:t>
            </w:r>
          </w:p>
        </w:tc>
        <w:tc>
          <w:tcPr>
            <w:tcW w:w="201" w:type="dxa"/>
            <w:tcBorders/>
            <w:vAlign w:val="bottom"/>
          </w:tcPr>
          <w:p>
            <w:pPr>
              <w:pStyle w:val="TableContents"/>
              <w:bidi w:val="0"/>
              <w:spacing w:before="0" w:after="283"/>
              <w:jc w:val="left"/>
              <w:rPr/>
            </w:pPr>
            <w:r>
              <w:rPr/>
              <w:t> </w:t>
            </w:r>
          </w:p>
        </w:tc>
        <w:tc>
          <w:tcPr>
            <w:tcW w:w="2147" w:type="dxa"/>
            <w:tcBorders/>
          </w:tcPr>
          <w:p>
            <w:pPr>
              <w:pStyle w:val="TableContents"/>
              <w:bidi w:val="0"/>
              <w:spacing w:before="0" w:after="283"/>
              <w:jc w:val="center"/>
              <w:rPr/>
            </w:pPr>
            <w:r>
              <w:rPr/>
              <w:t>November 28, 2023</w:t>
            </w:r>
          </w:p>
        </w:tc>
      </w:tr>
      <w:tr>
        <w:trPr>
          <w:trHeight w:val="240" w:hRule="atLeast"/>
        </w:trPr>
        <w:tc>
          <w:tcPr>
            <w:tcW w:w="3273" w:type="dxa"/>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c>
          <w:tcPr>
            <w:tcW w:w="2348" w:type="dxa"/>
            <w:gridSpan w:val="2"/>
            <w:tcBorders/>
            <w:vAlign w:val="center"/>
          </w:tcPr>
          <w:p>
            <w:pPr>
              <w:pStyle w:val="TableContents"/>
              <w:bidi w:val="0"/>
              <w:spacing w:before="0" w:after="283"/>
              <w:jc w:val="left"/>
              <w:rPr>
                <w:sz w:val="4"/>
                <w:szCs w:val="4"/>
              </w:rPr>
            </w:pPr>
            <w:r>
              <w:rPr>
                <w:sz w:val="4"/>
                <w:szCs w:val="4"/>
              </w:rPr>
            </w:r>
          </w:p>
        </w:tc>
      </w:tr>
      <w:tr>
        <w:trPr/>
        <w:tc>
          <w:tcPr>
            <w:tcW w:w="327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 Renae Conley*</w:t>
            </w:r>
          </w:p>
          <w:p>
            <w:pPr>
              <w:pStyle w:val="TableContents"/>
              <w:bidi w:val="0"/>
              <w:spacing w:before="0" w:after="20"/>
              <w:jc w:val="left"/>
              <w:rPr>
                <w:rFonts w:ascii="Times New Roman" w:hAnsi="Times New Roman"/>
                <w:sz w:val="20"/>
              </w:rPr>
            </w:pPr>
            <w:r>
              <w:rPr>
                <w:rFonts w:ascii="Times New Roman" w:hAnsi="Times New Roman"/>
                <w:sz w:val="20"/>
              </w:rPr>
              <w:t>E. Renae Conley</w:t>
            </w:r>
          </w:p>
        </w:tc>
        <w:tc>
          <w:tcPr>
            <w:tcW w:w="121" w:type="dxa"/>
            <w:tcBorders/>
            <w:vAlign w:val="bottom"/>
          </w:tcPr>
          <w:p>
            <w:pPr>
              <w:pStyle w:val="TableContents"/>
              <w:bidi w:val="0"/>
              <w:spacing w:before="0" w:after="283"/>
              <w:jc w:val="left"/>
              <w:rPr/>
            </w:pPr>
            <w:r>
              <w:rPr/>
              <w:t>  </w:t>
            </w:r>
          </w:p>
        </w:tc>
        <w:tc>
          <w:tcPr>
            <w:tcW w:w="446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147" w:type="dxa"/>
            <w:tcBorders/>
          </w:tcPr>
          <w:p>
            <w:pPr>
              <w:pStyle w:val="TableContents"/>
              <w:bidi w:val="0"/>
              <w:spacing w:before="0" w:after="283"/>
              <w:jc w:val="center"/>
              <w:rPr/>
            </w:pPr>
            <w:r>
              <w:rPr/>
              <w:t>November 28, 2023</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*By: /s/ Robert J. Stefani</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0"/>
              <w:jc w:val="left"/>
              <w:rPr>
                <w:rFonts w:ascii="Times New Roman" w:hAnsi="Times New Roman"/>
                <w:sz w:val="20"/>
              </w:rPr>
            </w:pPr>
            <w:r>
              <w:rPr>
                <w:rFonts w:ascii="Times New Roman" w:hAnsi="Times New Roman"/>
                <w:sz w:val="20"/>
              </w:rPr>
              <w:t>Robert J. Stefani</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0"/>
              <w:jc w:val="left"/>
              <w:rPr>
                <w:rFonts w:ascii="Times New Roman" w:hAnsi="Times New Roman"/>
                <w:sz w:val="20"/>
              </w:rPr>
            </w:pPr>
            <w:r>
              <w:rPr>
                <w:rFonts w:ascii="Times New Roman" w:hAnsi="Times New Roman"/>
                <w:sz w:val="20"/>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20" w:name="d899567dex51.htm"/>
      <w:bookmarkStart w:id="21" w:name="ksd899567dex51"/>
      <w:bookmarkEnd w:id="20"/>
      <w:bookmarkEnd w:id="21"/>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1"/>
        <w:gridCol w:w="202"/>
        <w:gridCol w:w="3218"/>
        <w:gridCol w:w="202"/>
        <w:gridCol w:w="2932"/>
      </w:tblGrid>
      <w:tr>
        <w:trPr/>
        <w:tc>
          <w:tcPr>
            <w:tcW w:w="365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3651" w:type="dxa"/>
            <w:tcBorders/>
          </w:tcPr>
          <w:p>
            <w:pPr>
              <w:pStyle w:val="TableContents"/>
              <w:bidi w:val="0"/>
              <w:spacing w:before="0" w:after="283"/>
              <w:jc w:val="left"/>
              <w:rPr/>
            </w:pPr>
            <w:r>
              <w:rPr/>
              <w:drawing>
                <wp:inline distT="0" distB="0" distL="0" distR="0">
                  <wp:extent cx="229552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7"/>
                          <a:stretch>
                            <a:fillRect/>
                          </a:stretch>
                        </pic:blipFill>
                        <pic:spPr bwMode="auto">
                          <a:xfrm>
                            <a:off x="0" y="0"/>
                            <a:ext cx="2295525" cy="152400"/>
                          </a:xfrm>
                          <a:prstGeom prst="rect">
                            <a:avLst/>
                          </a:prstGeom>
                        </pic:spPr>
                      </pic:pic>
                    </a:graphicData>
                  </a:graphic>
                </wp:inline>
              </w:drawing>
            </w:r>
            <w:r>
              <w:rPr/>
              <w:t xml:space="preserve"> </w:t>
            </w:r>
          </w:p>
        </w:tc>
        <w:tc>
          <w:tcPr>
            <w:tcW w:w="202"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2100 L Street, NW</w:t>
            </w:r>
          </w:p>
          <w:p>
            <w:pPr>
              <w:pStyle w:val="TableContents"/>
              <w:bidi w:val="0"/>
              <w:spacing w:before="0" w:after="0"/>
              <w:jc w:val="left"/>
              <w:rPr>
                <w:rFonts w:ascii="Times New Roman" w:hAnsi="Times New Roman"/>
                <w:sz w:val="20"/>
              </w:rPr>
            </w:pPr>
            <w:r>
              <w:rPr>
                <w:rFonts w:ascii="Times New Roman" w:hAnsi="Times New Roman"/>
                <w:sz w:val="20"/>
              </w:rPr>
              <w:t>Suite 900</w:t>
            </w:r>
          </w:p>
          <w:p>
            <w:pPr>
              <w:pStyle w:val="TableContents"/>
              <w:bidi w:val="0"/>
              <w:spacing w:before="0" w:after="0"/>
              <w:jc w:val="left"/>
              <w:rPr>
                <w:rFonts w:ascii="Times New Roman" w:hAnsi="Times New Roman"/>
                <w:sz w:val="20"/>
              </w:rPr>
            </w:pPr>
            <w:r>
              <w:rPr>
                <w:rFonts w:ascii="Times New Roman" w:hAnsi="Times New Roman"/>
                <w:sz w:val="20"/>
              </w:rPr>
              <w:t>Washington</w:t>
            </w:r>
          </w:p>
          <w:p>
            <w:pPr>
              <w:pStyle w:val="TableContents"/>
              <w:bidi w:val="0"/>
              <w:spacing w:before="0" w:after="0"/>
              <w:jc w:val="left"/>
              <w:rPr>
                <w:rFonts w:ascii="Times New Roman" w:hAnsi="Times New Roman"/>
                <w:sz w:val="20"/>
              </w:rPr>
            </w:pPr>
            <w:r>
              <w:rPr>
                <w:rFonts w:ascii="Times New Roman" w:hAnsi="Times New Roman"/>
                <w:sz w:val="20"/>
              </w:rPr>
              <w:t>DC 20037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TELEPHONE: 202.887.1500</w:t>
            </w:r>
          </w:p>
          <w:p>
            <w:pPr>
              <w:pStyle w:val="TableContents"/>
              <w:bidi w:val="0"/>
              <w:spacing w:before="0" w:after="0"/>
              <w:jc w:val="left"/>
              <w:rPr>
                <w:rFonts w:ascii="Times New Roman" w:hAnsi="Times New Roman"/>
                <w:sz w:val="20"/>
              </w:rPr>
            </w:pPr>
            <w:r>
              <w:rPr>
                <w:rFonts w:ascii="Times New Roman" w:hAnsi="Times New Roman"/>
                <w:sz w:val="20"/>
              </w:rPr>
              <w:t>FACSIMILE: 202.887.0763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www.mofo.com</w:t>
            </w:r>
          </w:p>
        </w:tc>
        <w:tc>
          <w:tcPr>
            <w:tcW w:w="202"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0"/>
              <w:jc w:val="left"/>
              <w:rPr>
                <w:rFonts w:ascii="Times New Roman" w:hAnsi="Times New Roman"/>
                <w:sz w:val="20"/>
              </w:rPr>
            </w:pPr>
            <w:r>
              <w:rPr>
                <w:rFonts w:ascii="Times New Roman" w:hAnsi="Times New Roman"/>
                <w:sz w:val="20"/>
              </w:rPr>
              <w:t>MORRISON &amp; FOERSTER LLP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BEIJING, BERLIN,</w:t>
            </w:r>
          </w:p>
          <w:p>
            <w:pPr>
              <w:pStyle w:val="TableContents"/>
              <w:bidi w:val="0"/>
              <w:spacing w:before="0" w:after="0"/>
              <w:jc w:val="left"/>
              <w:rPr>
                <w:rFonts w:ascii="Times New Roman" w:hAnsi="Times New Roman"/>
                <w:sz w:val="20"/>
              </w:rPr>
            </w:pPr>
            <w:r>
              <w:rPr>
                <w:rFonts w:ascii="Times New Roman" w:hAnsi="Times New Roman"/>
                <w:sz w:val="20"/>
              </w:rPr>
              <w:t>BOSTON, BRUSSELS, DENVER, HONG KONG,</w:t>
            </w:r>
          </w:p>
          <w:p>
            <w:pPr>
              <w:pStyle w:val="TableContents"/>
              <w:bidi w:val="0"/>
              <w:spacing w:before="0" w:after="0"/>
              <w:jc w:val="left"/>
              <w:rPr>
                <w:rFonts w:ascii="Times New Roman" w:hAnsi="Times New Roman"/>
                <w:sz w:val="20"/>
              </w:rPr>
            </w:pPr>
            <w:r>
              <w:rPr>
                <w:rFonts w:ascii="Times New Roman" w:hAnsi="Times New Roman"/>
                <w:sz w:val="20"/>
              </w:rPr>
              <w:t>LONDON, LOS ANGELES, NEW YORK,</w:t>
            </w:r>
          </w:p>
          <w:p>
            <w:pPr>
              <w:pStyle w:val="TableContents"/>
              <w:bidi w:val="0"/>
              <w:spacing w:before="0" w:after="0"/>
              <w:jc w:val="left"/>
              <w:rPr>
                <w:rFonts w:ascii="Times New Roman" w:hAnsi="Times New Roman"/>
                <w:sz w:val="20"/>
              </w:rPr>
            </w:pPr>
            <w:r>
              <w:rPr>
                <w:rFonts w:ascii="Times New Roman" w:hAnsi="Times New Roman"/>
                <w:sz w:val="20"/>
              </w:rPr>
              <w:t>PALO ALTO, SAN DIEGO, SAN FRANCISCO, SHANGHAI, SINGAPORE, TOKYO,</w:t>
            </w:r>
          </w:p>
          <w:p>
            <w:pPr>
              <w:pStyle w:val="TableContents"/>
              <w:bidi w:val="0"/>
              <w:spacing w:before="0" w:after="20"/>
              <w:jc w:val="left"/>
              <w:rPr>
                <w:rFonts w:ascii="Times New Roman" w:hAnsi="Times New Roman"/>
                <w:sz w:val="20"/>
              </w:rPr>
            </w:pPr>
            <w:r>
              <w:rPr>
                <w:rFonts w:ascii="Times New Roman" w:hAnsi="Times New Roman"/>
                <w:sz w:val="20"/>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November 28, 2023 </w:t>
      </w:r>
    </w:p>
    <w:p>
      <w:pPr>
        <w:pStyle w:val="TextBody"/>
        <w:bidi w:val="0"/>
        <w:spacing w:before="120" w:after="0"/>
        <w:jc w:val="left"/>
        <w:rPr>
          <w:rFonts w:ascii="Times New Roman" w:hAnsi="Times New Roman"/>
          <w:sz w:val="20"/>
        </w:rPr>
      </w:pPr>
      <w:r>
        <w:rPr>
          <w:rFonts w:ascii="Times New Roman" w:hAnsi="Times New Roman"/>
          <w:sz w:val="20"/>
        </w:rPr>
        <w:t xml:space="preserve">Southwest Gas Holdings, Inc. </w:t>
      </w:r>
    </w:p>
    <w:p>
      <w:pPr>
        <w:pStyle w:val="TextBody"/>
        <w:bidi w:val="0"/>
        <w:spacing w:before="0" w:after="0"/>
        <w:jc w:val="left"/>
        <w:rPr>
          <w:rFonts w:ascii="Times New Roman" w:hAnsi="Times New Roman"/>
          <w:sz w:val="20"/>
        </w:rPr>
      </w:pPr>
      <w:r>
        <w:rPr>
          <w:rFonts w:ascii="Times New Roman" w:hAnsi="Times New Roman"/>
          <w:sz w:val="20"/>
        </w:rPr>
        <w:t xml:space="preserve">Southwest Gas Corporation </w:t>
      </w:r>
    </w:p>
    <w:p>
      <w:pPr>
        <w:pStyle w:val="TextBody"/>
        <w:bidi w:val="0"/>
        <w:spacing w:before="0" w:after="0"/>
        <w:jc w:val="left"/>
        <w:rPr>
          <w:rFonts w:ascii="Times New Roman" w:hAnsi="Times New Roman"/>
          <w:sz w:val="20"/>
        </w:rPr>
      </w:pPr>
      <w:r>
        <w:rPr>
          <w:rFonts w:ascii="Times New Roman" w:hAnsi="Times New Roman"/>
          <w:sz w:val="20"/>
        </w:rPr>
        <w:t xml:space="preserve">8360 S. Durango Drive </w:t>
      </w:r>
    </w:p>
    <w:p>
      <w:pPr>
        <w:pStyle w:val="TextBody"/>
        <w:bidi w:val="0"/>
        <w:spacing w:before="0" w:after="0"/>
        <w:jc w:val="left"/>
        <w:rPr>
          <w:rFonts w:ascii="Times New Roman" w:hAnsi="Times New Roman"/>
          <w:sz w:val="20"/>
        </w:rPr>
      </w:pPr>
      <w:r>
        <w:rPr>
          <w:rFonts w:ascii="Times New Roman" w:hAnsi="Times New Roman"/>
          <w:sz w:val="20"/>
        </w:rPr>
        <w:t xml:space="preserve">Post Office Box 98510 </w:t>
      </w:r>
    </w:p>
    <w:p>
      <w:pPr>
        <w:pStyle w:val="TextBody"/>
        <w:bidi w:val="0"/>
        <w:spacing w:before="0" w:after="0"/>
        <w:jc w:val="left"/>
        <w:rPr>
          <w:rFonts w:ascii="Times New Roman" w:hAnsi="Times New Roman"/>
          <w:sz w:val="20"/>
        </w:rPr>
      </w:pPr>
      <w:r>
        <w:rPr>
          <w:rFonts w:ascii="Times New Roman" w:hAnsi="Times New Roman"/>
          <w:sz w:val="20"/>
        </w:rPr>
        <w:t xml:space="preserve">Las Vegas, Nevada 89193-8510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Automatic Shelf 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Southwest Gas Holdings, Inc., a Delaware corporation (Holdings), and Southwest Gas Corporation, a California corporation (the Company and, together with Holdings, the Issuers), in connection with the Automatic Shelf Registration Statement on Form S-3 (including the prospectus (together with any supplements thereto, the Prospectus) which is a part thereof, the Registration Statement) being filed by the Issuers with the Securities and Exchange Commission (the Commission) relating to the registration under the Securities Act of 1933, as amended (the Act) of an indeterminate amount of the following securities of the Issuers, which may be offered and sold from time to time, together or separately and in one or more series (if applicable), on a delayed or continuous basis pursuant to Rule 415 under the Act: (i) shares of common stock of Holdings, par value $1.00 per share (the Common Stock); (ii) shares of the preferred stock of Holdings, no par value, which may be issued in one or more series (the Preferred Stock); (iii) debt securities of Holdings, which may be issued in one or more series (the Holdings Debt Securities), under the form of indenture filed as Exhibit 4.4 to the Registration Statement, as may be amended or supplemented from time to time (the Holdings Indenture); (iv) debt securities of the Company, which may be issued in one or more series (the Company Debt Securities and, together with the Holdings Debt Securities, the Debt Securities), under the indenture, dated as of June 4, 2020, by and between the Company and The Bank of New York Mellon Trust Company, as trustee, incorporated by reference into the registration statement as Exhibit 4.35 to the Registration Statement as may be amended or supplemented from time to time (the Company Indenture and, together with the Holdings Indenture, the Indentures); (v) guarantees of Holdings, the Company and/or their respective subsidiaries with respect to the Debt Securities (the Guarantees); (vi) shares of the depositary shares of Holdings, which may be issued in one or more series (the Depositary Shares); (vii) warrants to purchase the Common Stock, Preferred Stock, Depositary Shares, Debt Securities or any combination of these securities (the Warrants); (viii) units consisting of any of the foregoing securities (the Units); and (ix) rights to purchase the Common Stock, Preferred Stock and Debt Securities or any combination of these securities (the Rights). The Common Stock, Preferred Stock, Debt Securities, Guarantees, Depositary Shares, Warrants, Units and Rights are referred to herein collectively as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may be issued from time to time pursuant to one or more deposit agreements (each, a Deposit Agreement) that conforms to the description thereof set forth in the applicable prospectus or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issued from time to time pursuant to one or more warrant agreements (each, a Warrant Agreement) to be entered into by Holdings and one or more institutions, as warrant agents (each, a Warrant Agent), each to be identified in the applicable Warrant Agreement. The Warrant Agreement will conform to the description thereof set forth in the applicable prospectus or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The Units may be issued from time to time pursuant to one or more unit agreements (each, a Unit Agreement) to be entered into by Holdings and one or more institutions, as unit agents (each, a Unit Agent), each to be identified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955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8"/>
                    <a:stretch>
                      <a:fillRect/>
                    </a:stretch>
                  </pic:blipFill>
                  <pic:spPr bwMode="auto">
                    <a:xfrm>
                      <a:off x="0" y="0"/>
                      <a:ext cx="22955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Southwest Gas Holdings, Inc. </w:t>
      </w:r>
    </w:p>
    <w:p>
      <w:pPr>
        <w:pStyle w:val="TextBody"/>
        <w:bidi w:val="0"/>
        <w:spacing w:before="0" w:after="0"/>
        <w:jc w:val="left"/>
        <w:rPr>
          <w:rFonts w:ascii="Times New Roman" w:hAnsi="Times New Roman"/>
          <w:sz w:val="20"/>
        </w:rPr>
      </w:pPr>
      <w:r>
        <w:rPr>
          <w:rFonts w:ascii="Times New Roman" w:hAnsi="Times New Roman"/>
          <w:sz w:val="20"/>
        </w:rPr>
        <w:t xml:space="preserve">Southwest Gas Corporation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applicable Unit Agreement. The Units Agreement will conform to the description thereof set forth in the applicable prospectus or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The Rights may be issued from time to time pursuant to one or more rights agreements (each, a Rights Agreement) to be entered into by Holdings and one or more institutions, as rights agents (each, a Rights Agent), each to be identified in the applicable Rights Agreement. The Rights Agreement will conform to the description thereof set forth in the applicable prospectus or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originals or copies, certified or otherwise identified to our satisfaction, of: (i) the Certificate of Incorporation of Holdings, as amended through the date hereof (the Certificate of Incorporation); (ii) the Amended and Restated Bylaws of Holdings, as amended through the date hereof (the Bylaws); (iii) the Articles of Incorporation of the Company; (iv) the Bylaws of Southwest Gas Corporation; (iv) certain resolutions of the Board of Directors of each of the Issuers relating to the issuance, sale and registration of the Securities; (v) the Registration Statement; and (vi) the Indentures. In addition, we have examined originals or copies, certified or otherwise identified to our satisfaction, of such records, documents, instruments and certificates of public officials and of the Issuers, and we have made such inquiries of officers of the Issuers and public officials and considered such questions of law as we have deemed relevant and necessary for purposes of rendering the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assumed the genuineness of all signatures and the authenticity of all items submitted to us as originals and the conformity with originals of all items submitted to us as copies. In making our examination of documents executed by parties other than the Issuers, we have assumed that each other party has the power and authority to execute and deliver, and to perform and observe the provisions of, such documents and has duly authorized, executed and delivered such documents, and that such documents constitute the legal, valid and binding obligations of each such party. We also have assumed the integrity and completeness of the minute books of each of the Issuers presented to us for examination. With respect to certain factual matters we have relied upon certificates or comparable documents of public officials and of officers or representatives of the Issuers.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that the Indentures, any Deposit Agreements, any Warrant Agreements, any Unit Agreements, any Rights Agreements and the issuance and sale of the Securities by each of the Issuers will not violate or constitute a default or breach under (i) any agreement or instrument to which such Issuer or its properties is subject; (ii) any law, rule or regulation to which such Issuer is subject; (iii) any judicial or regulatory order or decree of any governmental authority; or (iv) any consent, approval, license, authorization or validation of, or filing, recording or registration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We have further assumed that (i) the Registration Statement and any amendments thereto will have become effective under the Act and comply with all applicable laws at the time the Securities are offered or issued as contemplated by the Registration Statement; (ii) an appropriate prospectus supplement or term sheet relating to the Securities offered thereby will be prepared and filed with the Commission in compliance with the Act and will comply with all applicable laws at the time the Securities are offered or issued as contemplated by the Registration Statement; (iii) all Securities will be issued and sold in compliance with the applicable provisions of the Act, the Trust Indenture Act of 1939, as applicable, and the securities or blue sky laws of various states and in the manner stated in the Registration Statement and the applicable prospectus supplement; (iv) any deposit, purchase, underwriting or similar agreement relating to Securities being offered will be duly authorized, executed and delivered by the applicable Issuer and the other parties thereto; and (v) the number of shares of Common Stock or Preferred Stock (including Preferred Stock underlying the Depositary Shares), as the case may be, offered pursuant to the Registration Statement does not exceed, at the time of issuance, the authorized but unissued shares of Common Stock or Preferred Stock, as the case may be.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955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9"/>
                    <a:stretch>
                      <a:fillRect/>
                    </a:stretch>
                  </pic:blipFill>
                  <pic:spPr bwMode="auto">
                    <a:xfrm>
                      <a:off x="0" y="0"/>
                      <a:ext cx="22955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Southwest Gas Holdings, Inc. </w:t>
      </w:r>
    </w:p>
    <w:p>
      <w:pPr>
        <w:pStyle w:val="TextBody"/>
        <w:bidi w:val="0"/>
        <w:spacing w:before="0" w:after="0"/>
        <w:jc w:val="left"/>
        <w:rPr>
          <w:rFonts w:ascii="Times New Roman" w:hAnsi="Times New Roman"/>
          <w:sz w:val="20"/>
        </w:rPr>
      </w:pPr>
      <w:r>
        <w:rPr>
          <w:rFonts w:ascii="Times New Roman" w:hAnsi="Times New Roman"/>
          <w:sz w:val="20"/>
        </w:rPr>
        <w:t xml:space="preserve">Southwest Gas Corporation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opinions are subject to the following qualifications and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bankruptcy, insolvency, reorganization, arrangement, moratorium or other similar laws relating to or affecting the rights of creditors generally, including, without limitation, laws relating to fraudulent transfers or conveyances, preferences and equitable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indemnification and contribution, which may be limited by applicable law or equitable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imposed by general principles of equity upon the availability of equitable remedies or the enforcement of provisions of any Securities and the effect of judicial decisions which have held that certain provisions are unenforceable where their enforcement would violate the implied covenant of good faith and fair dealing, or would be commercially unreasonable, or where a default under such Securities is not material. </w:t>
            </w:r>
          </w:p>
        </w:tc>
      </w:tr>
    </w:tbl>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the applicability of any regulatory statute, or rule or regulation of any regulatory agency, to the Company or the Operating Partnership, or the effect of any such statute, rule or regulation on the opinions expressed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compliance with applicable antifraud statutes, and rules or regulations of applicable foreign, state and federal laws concerning the issuance or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 is based upon current statutes, rules, regulations, cases and official interpretive opinions, and it covers certain items that are not directly or definitively addressed by such authorities.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shares of the Common Stock, when (A) the Board of Directors of Holdings or a duly constituted and acting committee thereof (such Board of Directors or committee thereof being hereinafter collectively referred to as the Holdings Board) has taken all necessary corporate action in conformity with the Certificate of Incorporation and Bylaws to approve the issuance of the Common Stock, the terms of the offering thereof and related matters, and (B) due issuance and delivery of the Common Stock against payment of the consideration therefor in accordance with the applicable definitive purchase, underwriting or similar agreement approved by the Holdings Board, such shares of Common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shares of the Preferred Stock, when (A) the Holdings Board has taken all necessary corporate action in conformity with the Certificate of Incorporation and Bylaws to approve the issuance and terms of a particular series of shares of Preferred Stock, the terms of the offering thereof and related matters, including the adoption of a Certificate of Determination for such Preferred Stock in accordance with applicable law relating to such shares of Preferred Stock and the filing of such Certificate of Determination with the Secretary of State of the State of Delaware, and (B) due issuance and delivery of the Preferred Stock against payment of the consideration therefor in accordance with the applicable definitive purchase, underwriting or similar agreement approved by the Holdings Board, such shares of the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when (A) the applicable Indenture relating to such Debt Securities has been duly authorized, executed and delivered by the applicable Issuer, (B) the board of directors of the applicable Issuer, a duly constituted and acting committee of such board or duly authorized officers of such Issuer (such board of directors, committee or authorized officers being hereinafter referred to as the Debt Authorizing Party) has taken all necessary corporate action to approve the issuance and terms of a particular series of such Debt Securities, the terms of the offering thereof and related matters, and (C) such Debt Securities have been duly executed, authenticated, issued and delivered in accordance with the provisions of the applicable Indenture and the applicable definitive purchase, underwriting or similar agreement approved by the Debt Authorizing Party against payment of the consideration therefor as provided therein, such Debt Securities will be valid and legally binding obligations of the applicable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955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0"/>
                    <a:stretch>
                      <a:fillRect/>
                    </a:stretch>
                  </pic:blipFill>
                  <pic:spPr bwMode="auto">
                    <a:xfrm>
                      <a:off x="0" y="0"/>
                      <a:ext cx="22955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Southwest Gas Holdings, Inc. </w:t>
      </w:r>
    </w:p>
    <w:p>
      <w:pPr>
        <w:pStyle w:val="TextBody"/>
        <w:bidi w:val="0"/>
        <w:spacing w:before="0" w:after="0"/>
        <w:jc w:val="left"/>
        <w:rPr>
          <w:rFonts w:ascii="Times New Roman" w:hAnsi="Times New Roman"/>
          <w:sz w:val="20"/>
        </w:rPr>
      </w:pPr>
      <w:r>
        <w:rPr>
          <w:rFonts w:ascii="Times New Roman" w:hAnsi="Times New Roman"/>
          <w:sz w:val="20"/>
        </w:rPr>
        <w:t xml:space="preserve">Southwest Gas Corporation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Issuer, enforceable against the applicable Issuer in accordance with their terms and entitled to the benefits of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Guarantees, when (A) the applicable Indenture relating to such Guarantees has been duly authorized, executed and delivered by the applicable Issuer, (B) the board of directors of the applicable guarantor, a duly constituted and acting committee of such board or duly authorized officers of such guarantor (such board of directors, committee or authorized officers being hereinafter referred to as the Guarantor Authorizing Party) has taken all necessary corporate action to approve the issuance and terms of the Guarantees and related matters, (C) the Debt Securities underlying such Guarantees, have been duly executed, authenticated, issued and delivered in accordance with the provisions of the applicable Indenture and the applicable definitive purchase, underwriting or similar agreement approved by the Guarantor Authorizing Party against payment of the consideration therefor as provided therein and (D) the due issuance of the Guarantees, such Guarantees will constitute valid and legally binding obligations of the guarantors issuing such Guarantees, enforceable against such Guarantors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shares of Depositary Shares, when (A) the Holdings Board has taken all necessary corporate action in conformity with the Certificate of Incorporation and Bylaws to approve the issuance and terms of a particular series of shares of Depositary Shares and underlying Preferred Stock, including the adoption of a Certificate of Determination for such Preferred Stock in accordance with applicable law relating to such shares of Preferred Stock and the filing of such Certificate of Determination with the Secretary of State of the State of Delaware, (B) a Deposit Agreement has been duly executed and delivered, (C) due issuance and delivery of the underlying Preferred Stock in accordance with the applicable deposit agreement, and (D) certificates representing the shares of the Depositary Shares have been duly executed, registered and delivered in accordance with the applicable definitive deposit, purchase, underwriting or similar agreement approved by the Holdings Board against payment of the consideration therefor as provided therein, such shares of the Depositary Shares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Warrants, when (A) the Holdings Board has taken all necessary corporate action in conformity with the Articles of Incorporation and Bylaws to approve the form, terms, execution and delivery of a Warrant Agreement (including a form of certificate evidencing the Warrants), the issuance of the Warrants, the terms of the offering thereof and related matters, and (B) the certificates evidencing the Warrants with such terms are duly executed, attested, issued and delivered by duly authorized officers of Holdings in accordance with the provisions of the applicable Warrant Agreement and the applicable definitive purchase, underwriting or similar agreement approved by the Holdings Board against payment of the consideration therefor as provided therein, such Warrants will be valid and legally binding obligations of Holdings, enforceable against Holdings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Units, when (A) the Holdings Board has taken all necessary corporate action in conformity with the Certificate of Incorporation and Bylaws to approve the form, terms, execution and delivery of a Unit Agreement (including a form of certificate evidencing the Units), the issuance of the Units, the terms of the offering thereof and related matters, and (B) the certificates evidencing Units with such terms are duly executed, attested, issued and delivered by duly authorized officers of Holdings in accordance with the provisions of the applicable Unit Agreement and the applicable definitive purchase, underwriting or similar agreement approved by the Holdings Board against payment of the consideration therefor as provided therein, such Units will be valid and legally binding obligations of Holdings, enforceable against Holdings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Rights, when (A) the Holdings Board has taken all necessary corporate action in conformity with the Certificate of Incorporation and Bylaws to approve the form, terms, execution and delivery of a Rights Agreement (including a form of certificate evidencing the Rights), the issuance of the Rights, the terms of the offering thereof and related matters, and (B) the certificates evidencing Rights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22955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1"/>
                    <a:stretch>
                      <a:fillRect/>
                    </a:stretch>
                  </pic:blipFill>
                  <pic:spPr bwMode="auto">
                    <a:xfrm>
                      <a:off x="0" y="0"/>
                      <a:ext cx="22955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Southwest Gas Holdings, Inc. </w:t>
      </w:r>
    </w:p>
    <w:p>
      <w:pPr>
        <w:pStyle w:val="TextBody"/>
        <w:bidi w:val="0"/>
        <w:spacing w:before="0" w:after="0"/>
        <w:jc w:val="left"/>
        <w:rPr>
          <w:rFonts w:ascii="Times New Roman" w:hAnsi="Times New Roman"/>
          <w:sz w:val="20"/>
        </w:rPr>
      </w:pPr>
      <w:r>
        <w:rPr>
          <w:rFonts w:ascii="Times New Roman" w:hAnsi="Times New Roman"/>
          <w:sz w:val="20"/>
        </w:rPr>
        <w:t xml:space="preserve">Southwest Gas Corporation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with such terms are duly executed, attested, issued and delivered by duly authorized officers of Holdings in accordance with the provisions of the applicable Rights Agreement and the applicable definitive purchase, underwriting or similar agreement approved by the Holdings Board against payment of the consideration therefor as provided therein, such Rights will be valid and legally binding obligations of Holdings, enforceable against Holdings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matters governed by any laws other than the federal laws of the United States of America, the laws of the State of Delaware, the laws of the State of California, and, with respect to the Indenture, also the substantive laws of the State of New York, as in effect on the date hereof. We express no opinion as to enforceability of the New York choice-of-law provision contained in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reference to us under the caption Legal Matters in the Prospectus included in the Registration Statement In giving such consent, we do not hereby admit that we are acting within the category of persons whose consent is required under Section 7 of the Act or the rules or regulations of the Commission thereunder. This opinion is expressed as of the date hereof, and we disclaim any undertaking to advise you of any subsequent changes of the facts stated or assumed herein or of any subsequent changes in applicable law.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Morrison &amp; Foerster LLP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Morrison &amp; Foerster LLP</w:t>
            </w:r>
          </w:p>
        </w:tc>
      </w:tr>
    </w:tbl>
    <w:p>
      <w:pPr>
        <w:pStyle w:val="TextBody"/>
        <w:bidi w:val="0"/>
        <w:spacing w:before="0" w:after="0"/>
        <w:jc w:val="right"/>
        <w:rPr>
          <w:rFonts w:ascii="Times New Roman" w:hAnsi="Times New Roman"/>
          <w:b/>
          <w:sz w:val="20"/>
        </w:rPr>
      </w:pPr>
      <w:bookmarkStart w:id="22" w:name="d899567dex232.htm"/>
      <w:bookmarkStart w:id="23" w:name="ksd899567dex232"/>
      <w:bookmarkEnd w:id="22"/>
      <w:bookmarkEnd w:id="23"/>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Southwest Gas Holdings, Inc. of our report dated February 28, 2023 relating to the financial statements and the effectiveness of internal control over financial reporting, which appears in the 2022 Annual Report to Shareholders, which is incorporated by reference in Southwest Gas Holdings, Inc.s Annual Report on Form 10-K for the year ended December 31, 2022.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Las Vegas, Nevada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right"/>
        <w:rPr>
          <w:rFonts w:ascii="Times New Roman" w:hAnsi="Times New Roman"/>
          <w:b/>
          <w:sz w:val="20"/>
        </w:rPr>
      </w:pPr>
      <w:bookmarkStart w:id="24" w:name="d899567dex233.htm"/>
      <w:bookmarkStart w:id="25" w:name="ksd899567dex233"/>
      <w:bookmarkEnd w:id="24"/>
      <w:bookmarkEnd w:id="25"/>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Southwest Gas Corporation of our report dated February 28, 2023 relating to the financial statements, which appears in the 2022 Annual Report to Shareholders, which is incorporated by reference in Southwest Gas Corporations Annual Report on Form 10-K for the year ended December 31, 2022.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Las Vegas, Nevada </w:t>
      </w:r>
    </w:p>
    <w:p>
      <w:pPr>
        <w:pStyle w:val="TextBody"/>
        <w:bidi w:val="0"/>
        <w:spacing w:before="0" w:after="0"/>
        <w:jc w:val="left"/>
        <w:rPr>
          <w:rFonts w:ascii="Times New Roman" w:hAnsi="Times New Roman"/>
          <w:sz w:val="20"/>
        </w:rPr>
      </w:pPr>
      <w:r>
        <w:rPr>
          <w:rFonts w:ascii="Times New Roman" w:hAnsi="Times New Roman"/>
          <w:sz w:val="20"/>
        </w:rPr>
        <w:t xml:space="preserve">November 28, 2023 </w:t>
      </w:r>
    </w:p>
    <w:p>
      <w:pPr>
        <w:pStyle w:val="TextBody"/>
        <w:bidi w:val="0"/>
        <w:spacing w:before="0" w:after="0"/>
        <w:jc w:val="right"/>
        <w:rPr>
          <w:rFonts w:ascii="Times New Roman" w:hAnsi="Times New Roman"/>
          <w:b/>
          <w:sz w:val="20"/>
        </w:rPr>
      </w:pPr>
      <w:bookmarkStart w:id="26" w:name="d899567dex241.htm"/>
      <w:bookmarkStart w:id="27" w:name="ksd899567dex241"/>
      <w:bookmarkEnd w:id="26"/>
      <w:bookmarkEnd w:id="27"/>
      <w:r>
        <w:rPr>
          <w:rFonts w:ascii="Times New Roman" w:hAnsi="Times New Roman"/>
          <w:b/>
          <w:sz w:val="20"/>
        </w:rPr>
        <w:t xml:space="preserve">Exhibit 24.1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Karen S. Haller and Robert J. Stefani, and each of them (with full power of each to act alone), severally, as his or her true and lawful attorneys-in-fact and agents, with full power of substitution and resubstitution, for him or her and to execute in his or her name, place, and stead (individually and in any capacity stated below) a shelf registration statement on Form S-3 covering the registration of the sale by Southwest Gas Holdings, Inc. (Company), from time to time, in one or more transactions and on a delayed or continuous basis various types of securities, including, but not limited to, common stock, preferred stock, debt securities, guarantees of debt securities, depositary shares, warrants to purchase Company securities, rights and units that include Company securities, in each case, separately or together, as a single series or as a separate series, in such amounts, at such prices and on such terms as determined at the time of issuance by the Board of Directors (Board) of the Company, a committee of the Board, or their respective designees (Registration Statement), and any and all amendments to the Registration Statement,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and/or any of them, or their substitute or substitutes, may lawfully do or cause to be done by virtue hereof. </w:t>
      </w:r>
    </w:p>
    <w:p>
      <w:pPr>
        <w:pStyle w:val="TextBody"/>
        <w:bidi w:val="0"/>
        <w:spacing w:before="360" w:after="0"/>
        <w:jc w:val="left"/>
        <w:rPr>
          <w:rFonts w:ascii="Times New Roman" w:hAnsi="Times New Roman"/>
          <w:sz w:val="20"/>
        </w:rPr>
      </w:pPr>
      <w:r>
        <w:rPr>
          <w:rFonts w:ascii="Times New Roman" w:hAnsi="Times New Roman"/>
          <w:sz w:val="20"/>
        </w:rPr>
        <w:t xml:space="preserve">Dated: November 28,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8"/>
        <w:gridCol w:w="101"/>
        <w:gridCol w:w="406"/>
        <w:gridCol w:w="101"/>
        <w:gridCol w:w="4799"/>
      </w:tblGrid>
      <w:tr>
        <w:trPr/>
        <w:tc>
          <w:tcPr>
            <w:tcW w:w="479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vAlign w:val="bottom"/>
          </w:tcPr>
          <w:p>
            <w:pPr>
              <w:pStyle w:val="TableContents"/>
              <w:bidi w:val="0"/>
              <w:spacing w:before="0" w:after="283"/>
              <w:jc w:val="left"/>
              <w:rPr/>
            </w:pPr>
            <w:r>
              <w:rPr/>
              <w:t>/s/ E. Renae Conley</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Carlos A. Ruisanchez</w:t>
            </w:r>
          </w:p>
        </w:tc>
      </w:tr>
      <w:tr>
        <w:trPr/>
        <w:tc>
          <w:tcPr>
            <w:tcW w:w="4798" w:type="dxa"/>
            <w:tcBorders/>
            <w:vAlign w:val="bottom"/>
          </w:tcPr>
          <w:p>
            <w:pPr>
              <w:pStyle w:val="TableContents"/>
              <w:bidi w:val="0"/>
              <w:spacing w:before="0" w:after="283"/>
              <w:jc w:val="left"/>
              <w:rPr/>
            </w:pPr>
            <w:r>
              <w:rPr/>
              <w:t>E. Renae Conley, Director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Carlos A. Ruisanchez, Director</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vAlign w:val="bottom"/>
          </w:tcPr>
          <w:p>
            <w:pPr>
              <w:pStyle w:val="TableContents"/>
              <w:bidi w:val="0"/>
              <w:spacing w:before="0" w:after="283"/>
              <w:jc w:val="left"/>
              <w:rPr/>
            </w:pPr>
            <w:r>
              <w:rPr/>
              <w:t>/s/ Andrew W. Evans</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vAlign w:val="bottom"/>
          </w:tcPr>
          <w:p>
            <w:pPr>
              <w:pStyle w:val="TableContents"/>
              <w:bidi w:val="0"/>
              <w:spacing w:before="0" w:after="283"/>
              <w:jc w:val="left"/>
              <w:rPr/>
            </w:pPr>
            <w:r>
              <w:rPr/>
              <w:t>/s/ Ruby Sharma</w:t>
            </w:r>
          </w:p>
        </w:tc>
      </w:tr>
      <w:tr>
        <w:trPr/>
        <w:tc>
          <w:tcPr>
            <w:tcW w:w="4798" w:type="dxa"/>
            <w:tcBorders/>
            <w:vAlign w:val="bottom"/>
          </w:tcPr>
          <w:p>
            <w:pPr>
              <w:pStyle w:val="TableContents"/>
              <w:bidi w:val="0"/>
              <w:spacing w:before="0" w:after="283"/>
              <w:jc w:val="left"/>
              <w:rPr/>
            </w:pPr>
            <w:r>
              <w:rPr/>
              <w:t>Andrew W. Evans, Director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Ruby Sharma, Director</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vAlign w:val="bottom"/>
          </w:tcPr>
          <w:p>
            <w:pPr>
              <w:pStyle w:val="TableContents"/>
              <w:bidi w:val="0"/>
              <w:spacing w:before="0" w:after="283"/>
              <w:jc w:val="left"/>
              <w:rPr/>
            </w:pPr>
            <w:r>
              <w:rPr/>
              <w:t>/s/ Karen S. Haller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vAlign w:val="bottom"/>
          </w:tcPr>
          <w:p>
            <w:pPr>
              <w:pStyle w:val="TableContents"/>
              <w:bidi w:val="0"/>
              <w:spacing w:before="0" w:after="283"/>
              <w:jc w:val="left"/>
              <w:rPr/>
            </w:pPr>
            <w:r>
              <w:rPr/>
              <w:t>/s/ Andrew J. Teno</w:t>
            </w:r>
          </w:p>
        </w:tc>
      </w:tr>
      <w:tr>
        <w:trPr/>
        <w:tc>
          <w:tcPr>
            <w:tcW w:w="4798" w:type="dxa"/>
            <w:tcBorders/>
            <w:vAlign w:val="bottom"/>
          </w:tcPr>
          <w:p>
            <w:pPr>
              <w:pStyle w:val="TableContents"/>
              <w:bidi w:val="0"/>
              <w:spacing w:before="0" w:after="283"/>
              <w:jc w:val="left"/>
              <w:rPr/>
            </w:pPr>
            <w:r>
              <w:rPr/>
              <w:t>Karen S. Haller, Director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Andrew J. Teno, Director</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vAlign w:val="bottom"/>
          </w:tcPr>
          <w:p>
            <w:pPr>
              <w:pStyle w:val="TableContents"/>
              <w:bidi w:val="0"/>
              <w:spacing w:before="0" w:after="283"/>
              <w:jc w:val="left"/>
              <w:rPr/>
            </w:pPr>
            <w:r>
              <w:rPr/>
              <w:t>/s/ Jane Lewis-Raymond</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vAlign w:val="bottom"/>
          </w:tcPr>
          <w:p>
            <w:pPr>
              <w:pStyle w:val="TableContents"/>
              <w:bidi w:val="0"/>
              <w:spacing w:before="0" w:after="283"/>
              <w:jc w:val="left"/>
              <w:rPr/>
            </w:pPr>
            <w:r>
              <w:rPr/>
              <w:t>/s/ A. Randall Thoman</w:t>
            </w:r>
          </w:p>
        </w:tc>
      </w:tr>
      <w:tr>
        <w:trPr/>
        <w:tc>
          <w:tcPr>
            <w:tcW w:w="4798" w:type="dxa"/>
            <w:tcBorders/>
            <w:vAlign w:val="bottom"/>
          </w:tcPr>
          <w:p>
            <w:pPr>
              <w:pStyle w:val="TableContents"/>
              <w:bidi w:val="0"/>
              <w:spacing w:before="0" w:after="283"/>
              <w:jc w:val="left"/>
              <w:rPr/>
            </w:pPr>
            <w:r>
              <w:rPr/>
              <w:t>Jane Lewis-Raymond, Director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A. Randall Thoman, Director</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vAlign w:val="bottom"/>
          </w:tcPr>
          <w:p>
            <w:pPr>
              <w:pStyle w:val="TableContents"/>
              <w:bidi w:val="0"/>
              <w:spacing w:before="0" w:after="283"/>
              <w:jc w:val="left"/>
              <w:rPr/>
            </w:pPr>
            <w:r>
              <w:rPr/>
              <w:t>/s/ Henry P. Linginfelter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vAlign w:val="bottom"/>
          </w:tcPr>
          <w:p>
            <w:pPr>
              <w:pStyle w:val="TableContents"/>
              <w:bidi w:val="0"/>
              <w:spacing w:before="0" w:after="283"/>
              <w:jc w:val="left"/>
              <w:rPr/>
            </w:pPr>
            <w:r>
              <w:rPr/>
              <w:t>/s/ Leslie T. Thornton</w:t>
            </w:r>
          </w:p>
        </w:tc>
      </w:tr>
      <w:tr>
        <w:trPr/>
        <w:tc>
          <w:tcPr>
            <w:tcW w:w="4798" w:type="dxa"/>
            <w:tcBorders/>
            <w:vAlign w:val="bottom"/>
          </w:tcPr>
          <w:p>
            <w:pPr>
              <w:pStyle w:val="TableContents"/>
              <w:bidi w:val="0"/>
              <w:spacing w:before="0" w:after="283"/>
              <w:jc w:val="left"/>
              <w:rPr/>
            </w:pPr>
            <w:r>
              <w:rPr/>
              <w:t>Henry P. Linginfelter, Director</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Leslie T. Thornton, Director</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tcPr>
          <w:p>
            <w:pPr>
              <w:pStyle w:val="TableContents"/>
              <w:bidi w:val="0"/>
              <w:spacing w:before="0" w:after="283"/>
              <w:jc w:val="left"/>
              <w:rPr/>
            </w:pPr>
            <w:r>
              <w:rPr/>
              <w:t>/s/ Anne L. Mariucci</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pPr>
            <w:r>
              <w:rPr/>
              <w:t>Anne L. Mariucci, Director</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8" w:name="d899567dex242.htm"/>
      <w:bookmarkStart w:id="29" w:name="ksd899567dex242"/>
      <w:bookmarkEnd w:id="28"/>
      <w:bookmarkEnd w:id="29"/>
      <w:r>
        <w:rPr>
          <w:rFonts w:ascii="Times New Roman" w:hAnsi="Times New Roman"/>
          <w:b/>
          <w:sz w:val="20"/>
        </w:rPr>
        <w:t xml:space="preserve">Exhibit 24.2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Karen S. Haller and Robert J. Stefani, and each of them (with full power of each to act alone), severally, as his or her true and lawful attorneys-in-fact and agents, with full power of substitution and resubstitution, for him or her and to execute in his or her name, place, and stead (individually and in any capacity stated below) a shelf registration statement on Form S-3 covering the registration of the sale by Southwest Gas Corporation (Company), from time to time, in one or more transactions and on a delayed or continuous basis various types of securities, including, but not limited to, debt securities and guarantees of debt securities, in each case, separately or together, as a single series or as a separate series, in such amounts, at such prices and on such terms as determined at the time of issuance by the Board of Directors (Board) of the Company, a committee of the Board, or their respective designees (Registration Statement), and any and all amendments to the Registration Statement,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and/or any of them,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Dated: November 28,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5"/>
        <w:gridCol w:w="110"/>
        <w:gridCol w:w="3362"/>
        <w:gridCol w:w="121"/>
        <w:gridCol w:w="3207"/>
      </w:tblGrid>
      <w:tr>
        <w:trPr/>
        <w:tc>
          <w:tcPr>
            <w:tcW w:w="340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3405" w:type="dxa"/>
            <w:tcBorders>
              <w:bottom w:val="single" w:sz="2" w:space="0" w:color="000000"/>
            </w:tcBorders>
            <w:tcMar>
              <w:bottom w:w="28" w:type="dxa"/>
            </w:tcMar>
            <w:vAlign w:val="bottom"/>
          </w:tcPr>
          <w:p>
            <w:pPr>
              <w:pStyle w:val="TableContents"/>
              <w:bidi w:val="0"/>
              <w:spacing w:before="0" w:after="283"/>
              <w:jc w:val="left"/>
              <w:rPr/>
            </w:pPr>
            <w:r>
              <w:rPr/>
              <w:t>/s/ E. Renae Conley</w:t>
            </w:r>
          </w:p>
        </w:tc>
        <w:tc>
          <w:tcPr>
            <w:tcW w:w="110" w:type="dxa"/>
            <w:tcBorders/>
            <w:vAlign w:val="bottom"/>
          </w:tcPr>
          <w:p>
            <w:pPr>
              <w:pStyle w:val="TableContents"/>
              <w:bidi w:val="0"/>
              <w:spacing w:before="0" w:after="283"/>
              <w:jc w:val="left"/>
              <w:rPr/>
            </w:pPr>
            <w:r>
              <w:rPr/>
              <w:t> </w:t>
            </w:r>
          </w:p>
        </w:tc>
        <w:tc>
          <w:tcPr>
            <w:tcW w:w="3362" w:type="dxa"/>
            <w:tcBorders/>
            <w:vAlign w:val="bottom"/>
          </w:tcPr>
          <w:p>
            <w:pPr>
              <w:pStyle w:val="TableContents"/>
              <w:bidi w:val="0"/>
              <w:spacing w:before="0" w:after="283"/>
              <w:jc w:val="left"/>
              <w:rPr>
                <w:sz w:val="4"/>
                <w:szCs w:val="4"/>
              </w:rPr>
            </w:pPr>
            <w:r>
              <w:rPr>
                <w:sz w:val="4"/>
                <w:szCs w:val="4"/>
              </w:rPr>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07" w:type="dxa"/>
            <w:tcBorders>
              <w:bottom w:val="single" w:sz="2" w:space="0" w:color="000000"/>
            </w:tcBorders>
            <w:tcMar>
              <w:bottom w:w="28" w:type="dxa"/>
            </w:tcMar>
            <w:vAlign w:val="bottom"/>
          </w:tcPr>
          <w:p>
            <w:pPr>
              <w:pStyle w:val="TableContents"/>
              <w:bidi w:val="0"/>
              <w:spacing w:before="0" w:after="283"/>
              <w:jc w:val="left"/>
              <w:rPr/>
            </w:pPr>
            <w:r>
              <w:rPr/>
              <w:t>/s/ Robert J. Stefani</w:t>
            </w:r>
          </w:p>
        </w:tc>
      </w:tr>
      <w:tr>
        <w:trPr/>
        <w:tc>
          <w:tcPr>
            <w:tcW w:w="3405" w:type="dxa"/>
            <w:tcBorders/>
            <w:vAlign w:val="bottom"/>
          </w:tcPr>
          <w:p>
            <w:pPr>
              <w:pStyle w:val="TableContents"/>
              <w:bidi w:val="0"/>
              <w:spacing w:before="0" w:after="283"/>
              <w:jc w:val="left"/>
              <w:rPr/>
            </w:pPr>
            <w:r>
              <w:rPr/>
              <w:t>E. Renae Conley, Director</w:t>
            </w:r>
          </w:p>
        </w:tc>
        <w:tc>
          <w:tcPr>
            <w:tcW w:w="110" w:type="dxa"/>
            <w:tcBorders/>
            <w:vAlign w:val="bottom"/>
          </w:tcPr>
          <w:p>
            <w:pPr>
              <w:pStyle w:val="TableContents"/>
              <w:bidi w:val="0"/>
              <w:spacing w:before="0" w:after="283"/>
              <w:jc w:val="left"/>
              <w:rPr/>
            </w:pPr>
            <w:r>
              <w:rPr/>
              <w:t> </w:t>
            </w:r>
          </w:p>
        </w:tc>
        <w:tc>
          <w:tcPr>
            <w:tcW w:w="336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pPr>
            <w:r>
              <w:rPr/>
              <w:t>Robert J. Stefani, Director</w:t>
            </w:r>
          </w:p>
        </w:tc>
      </w:tr>
      <w:tr>
        <w:trPr>
          <w:trHeight w:val="240" w:hRule="atLeast"/>
        </w:trPr>
        <w:tc>
          <w:tcPr>
            <w:tcW w:w="3405"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c>
          <w:tcPr>
            <w:tcW w:w="3328" w:type="dxa"/>
            <w:gridSpan w:val="2"/>
            <w:tcBorders/>
            <w:vAlign w:val="center"/>
          </w:tcPr>
          <w:p>
            <w:pPr>
              <w:pStyle w:val="TableContents"/>
              <w:bidi w:val="0"/>
              <w:spacing w:before="0" w:after="283"/>
              <w:jc w:val="left"/>
              <w:rPr>
                <w:sz w:val="4"/>
                <w:szCs w:val="4"/>
              </w:rPr>
            </w:pPr>
            <w:r>
              <w:rPr>
                <w:sz w:val="4"/>
                <w:szCs w:val="4"/>
              </w:rPr>
            </w:r>
          </w:p>
        </w:tc>
      </w:tr>
      <w:tr>
        <w:trPr/>
        <w:tc>
          <w:tcPr>
            <w:tcW w:w="3405" w:type="dxa"/>
            <w:tcBorders>
              <w:bottom w:val="single" w:sz="2" w:space="0" w:color="000000"/>
            </w:tcBorders>
            <w:tcMar>
              <w:bottom w:w="28" w:type="dxa"/>
            </w:tcMar>
          </w:tcPr>
          <w:p>
            <w:pPr>
              <w:pStyle w:val="TableContents"/>
              <w:bidi w:val="0"/>
              <w:spacing w:before="0" w:after="283"/>
              <w:jc w:val="left"/>
              <w:rPr/>
            </w:pPr>
            <w:r>
              <w:rPr/>
              <w:t>/s/ Karen S. Haller</w:t>
            </w:r>
          </w:p>
        </w:tc>
        <w:tc>
          <w:tcPr>
            <w:tcW w:w="11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sz w:val="4"/>
                <w:szCs w:val="4"/>
              </w:rPr>
            </w:pPr>
            <w:r>
              <w:rPr>
                <w:sz w:val="4"/>
                <w:szCs w:val="4"/>
              </w:rPr>
            </w:r>
          </w:p>
        </w:tc>
      </w:tr>
      <w:tr>
        <w:trPr/>
        <w:tc>
          <w:tcPr>
            <w:tcW w:w="3405" w:type="dxa"/>
            <w:tcBorders/>
          </w:tcPr>
          <w:p>
            <w:pPr>
              <w:pStyle w:val="TableContents"/>
              <w:bidi w:val="0"/>
              <w:spacing w:before="0" w:after="283"/>
              <w:jc w:val="left"/>
              <w:rPr/>
            </w:pPr>
            <w:r>
              <w:rPr/>
              <w:t>Karen S. Haller, Director</w:t>
            </w:r>
          </w:p>
        </w:tc>
        <w:tc>
          <w:tcPr>
            <w:tcW w:w="11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0" w:name="d899567dex251.htm"/>
      <w:bookmarkStart w:id="31" w:name="ksd899567dex251"/>
      <w:bookmarkEnd w:id="30"/>
      <w:bookmarkEnd w:id="31"/>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48"/>
        </w:rPr>
      </w:pPr>
      <w:r>
        <w:rPr>
          <w:rFonts w:ascii="Times New Roman" w:hAnsi="Times New Roman"/>
          <w:b/>
          <w:sz w:val="48"/>
        </w:rPr>
        <w:t xml:space="preserve">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123"/>
        <w:gridCol w:w="4892"/>
      </w:tblGrid>
      <w:tr>
        <w:trPr/>
        <w:tc>
          <w:tcPr>
            <w:tcW w:w="51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2" w:type="dxa"/>
            <w:tcBorders/>
            <w:vAlign w:val="bottom"/>
          </w:tcPr>
          <w:p>
            <w:pPr>
              <w:pStyle w:val="TableContents"/>
              <w:bidi w:val="0"/>
              <w:spacing w:before="0" w:after="283"/>
              <w:jc w:val="center"/>
              <w:rPr>
                <w:b/>
              </w:rPr>
            </w:pPr>
            <w:r>
              <w:rPr>
                <w:b/>
              </w:rPr>
              <w:t>95-3571558</w:t>
            </w:r>
          </w:p>
        </w:tc>
      </w:tr>
      <w:tr>
        <w:trPr/>
        <w:tc>
          <w:tcPr>
            <w:tcW w:w="5190"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w:t>
            </w:r>
          </w:p>
          <w:p>
            <w:pPr>
              <w:pStyle w:val="TableContents"/>
              <w:bidi w:val="0"/>
              <w:spacing w:before="0" w:after="20"/>
              <w:jc w:val="center"/>
              <w:rPr>
                <w:rFonts w:ascii="Times New Roman" w:hAnsi="Times New Roman"/>
                <w:b/>
                <w:sz w:val="16"/>
              </w:rPr>
            </w:pPr>
            <w:r>
              <w:rPr>
                <w:rFonts w:ascii="Times New Roman" w:hAnsi="Times New Roman"/>
                <w:b/>
                <w:sz w:val="16"/>
              </w:rPr>
              <w:t>if not a U.S. national bank)</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0"/>
              <w:jc w:val="center"/>
              <w:rPr>
                <w:rFonts w:ascii="Times New Roman" w:hAnsi="Times New Roman"/>
                <w:b/>
                <w:sz w:val="20"/>
              </w:rPr>
            </w:pPr>
            <w:r>
              <w:rPr>
                <w:rFonts w:ascii="Times New Roman" w:hAnsi="Times New Roman"/>
                <w:b/>
                <w:sz w:val="20"/>
              </w:rPr>
              <w:t>333 South Hope Street Suite</w:t>
            </w:r>
          </w:p>
          <w:p>
            <w:pPr>
              <w:pStyle w:val="TableContents"/>
              <w:bidi w:val="0"/>
              <w:spacing w:before="0" w:after="20"/>
              <w:jc w:val="center"/>
              <w:rPr>
                <w:rFonts w:ascii="Times New Roman" w:hAnsi="Times New Roman"/>
                <w:b/>
                <w:sz w:val="20"/>
              </w:rPr>
            </w:pPr>
            <w:r>
              <w:rPr>
                <w:rFonts w:ascii="Times New Roman" w:hAnsi="Times New Roman"/>
                <w:b/>
                <w:sz w:val="20"/>
              </w:rPr>
              <w:t>2525 Los Angeles, California</w:t>
            </w:r>
          </w:p>
        </w:tc>
        <w:tc>
          <w:tcPr>
            <w:tcW w:w="123" w:type="dxa"/>
            <w:tcBorders/>
            <w:vAlign w:val="bottom"/>
          </w:tcPr>
          <w:p>
            <w:pPr>
              <w:pStyle w:val="TableContents"/>
              <w:bidi w:val="0"/>
              <w:spacing w:before="0" w:after="283"/>
              <w:jc w:val="left"/>
              <w:rPr/>
            </w:pPr>
            <w:r>
              <w:rPr/>
              <w:t>  </w:t>
            </w:r>
          </w:p>
        </w:tc>
        <w:tc>
          <w:tcPr>
            <w:tcW w:w="4892" w:type="dxa"/>
            <w:tcBorders/>
            <w:vAlign w:val="bottom"/>
          </w:tcPr>
          <w:p>
            <w:pPr>
              <w:pStyle w:val="TableContents"/>
              <w:bidi w:val="0"/>
              <w:spacing w:before="0" w:after="283"/>
              <w:jc w:val="center"/>
              <w:rPr>
                <w:b/>
              </w:rPr>
            </w:pPr>
            <w:r>
              <w:rPr>
                <w:b/>
              </w:rPr>
              <w:t>90071</w:t>
            </w:r>
          </w:p>
        </w:tc>
      </w:tr>
      <w:tr>
        <w:trPr/>
        <w:tc>
          <w:tcPr>
            <w:tcW w:w="5190" w:type="dxa"/>
            <w:tcBorders/>
          </w:tcPr>
          <w:p>
            <w:pPr>
              <w:pStyle w:val="TableContents"/>
              <w:bidi w:val="0"/>
              <w:spacing w:before="0" w:after="283"/>
              <w:jc w:val="center"/>
              <w:rPr>
                <w:b/>
              </w:rPr>
            </w:pPr>
            <w:r>
              <w:rPr>
                <w:b/>
              </w:rPr>
              <w:t>(Address of principal executive offices)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Southwest Gas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123"/>
        <w:gridCol w:w="4892"/>
      </w:tblGrid>
      <w:tr>
        <w:trPr/>
        <w:tc>
          <w:tcPr>
            <w:tcW w:w="51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center"/>
              <w:rPr>
                <w:b/>
              </w:rPr>
            </w:pPr>
            <w:r>
              <w:rPr>
                <w:b/>
              </w:rPr>
              <w:t>Delaware</w:t>
            </w:r>
          </w:p>
        </w:tc>
        <w:tc>
          <w:tcPr>
            <w:tcW w:w="123" w:type="dxa"/>
            <w:tcBorders/>
            <w:vAlign w:val="bottom"/>
          </w:tcPr>
          <w:p>
            <w:pPr>
              <w:pStyle w:val="TableContents"/>
              <w:bidi w:val="0"/>
              <w:spacing w:before="0" w:after="283"/>
              <w:jc w:val="left"/>
              <w:rPr/>
            </w:pPr>
            <w:r>
              <w:rPr/>
              <w:t>  </w:t>
            </w:r>
          </w:p>
        </w:tc>
        <w:tc>
          <w:tcPr>
            <w:tcW w:w="4892" w:type="dxa"/>
            <w:tcBorders/>
            <w:vAlign w:val="bottom"/>
          </w:tcPr>
          <w:p>
            <w:pPr>
              <w:pStyle w:val="TableContents"/>
              <w:bidi w:val="0"/>
              <w:spacing w:before="0" w:after="283"/>
              <w:jc w:val="center"/>
              <w:rPr>
                <w:b/>
              </w:rPr>
            </w:pPr>
            <w:r>
              <w:rPr>
                <w:b/>
              </w:rPr>
              <w:t>81-3881866</w:t>
            </w:r>
          </w:p>
        </w:tc>
      </w:tr>
      <w:tr>
        <w:trPr/>
        <w:tc>
          <w:tcPr>
            <w:tcW w:w="5190"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0"/>
              <w:jc w:val="center"/>
              <w:rPr>
                <w:rFonts w:ascii="Times New Roman" w:hAnsi="Times New Roman"/>
                <w:b/>
                <w:sz w:val="20"/>
              </w:rPr>
            </w:pPr>
            <w:r>
              <w:rPr>
                <w:rFonts w:ascii="Times New Roman" w:hAnsi="Times New Roman"/>
                <w:b/>
                <w:sz w:val="20"/>
              </w:rPr>
              <w:t>8360 S. Durango Drive</w:t>
            </w:r>
          </w:p>
          <w:p>
            <w:pPr>
              <w:pStyle w:val="TableContents"/>
              <w:bidi w:val="0"/>
              <w:spacing w:before="0" w:after="0"/>
              <w:jc w:val="center"/>
              <w:rPr>
                <w:rFonts w:ascii="Times New Roman" w:hAnsi="Times New Roman"/>
                <w:b/>
                <w:sz w:val="20"/>
              </w:rPr>
            </w:pPr>
            <w:r>
              <w:rPr>
                <w:rFonts w:ascii="Times New Roman" w:hAnsi="Times New Roman"/>
                <w:b/>
                <w:sz w:val="20"/>
              </w:rPr>
              <w:t>P.O. Box 98510</w:t>
            </w:r>
          </w:p>
          <w:p>
            <w:pPr>
              <w:pStyle w:val="TableContents"/>
              <w:bidi w:val="0"/>
              <w:spacing w:before="0" w:after="20"/>
              <w:jc w:val="center"/>
              <w:rPr>
                <w:rFonts w:ascii="Times New Roman" w:hAnsi="Times New Roman"/>
                <w:b/>
                <w:sz w:val="20"/>
              </w:rPr>
            </w:pPr>
            <w:r>
              <w:rPr>
                <w:rFonts w:ascii="Times New Roman" w:hAnsi="Times New Roman"/>
                <w:b/>
                <w:sz w:val="20"/>
              </w:rPr>
              <w:t>Las Vegas, Nevada</w:t>
            </w:r>
          </w:p>
        </w:tc>
        <w:tc>
          <w:tcPr>
            <w:tcW w:w="123" w:type="dxa"/>
            <w:tcBorders/>
            <w:vAlign w:val="bottom"/>
          </w:tcPr>
          <w:p>
            <w:pPr>
              <w:pStyle w:val="TableContents"/>
              <w:bidi w:val="0"/>
              <w:spacing w:before="0" w:after="283"/>
              <w:jc w:val="left"/>
              <w:rPr/>
            </w:pPr>
            <w:r>
              <w:rPr/>
              <w:t>  </w:t>
            </w:r>
          </w:p>
        </w:tc>
        <w:tc>
          <w:tcPr>
            <w:tcW w:w="4892" w:type="dxa"/>
            <w:tcBorders/>
            <w:vAlign w:val="bottom"/>
          </w:tcPr>
          <w:p>
            <w:pPr>
              <w:pStyle w:val="TableContents"/>
              <w:bidi w:val="0"/>
              <w:spacing w:before="0" w:after="283"/>
              <w:jc w:val="center"/>
              <w:rPr>
                <w:b/>
              </w:rPr>
            </w:pPr>
            <w:r>
              <w:rPr>
                <w:b/>
              </w:rPr>
              <w:t>89193-8510</w:t>
            </w:r>
          </w:p>
        </w:tc>
      </w:tr>
      <w:tr>
        <w:trPr/>
        <w:tc>
          <w:tcPr>
            <w:tcW w:w="5190" w:type="dxa"/>
            <w:tcBorders/>
          </w:tcPr>
          <w:p>
            <w:pPr>
              <w:pStyle w:val="TableContents"/>
              <w:bidi w:val="0"/>
              <w:spacing w:before="0" w:after="283"/>
              <w:jc w:val="center"/>
              <w:rPr>
                <w:b/>
              </w:rPr>
            </w:pPr>
            <w:r>
              <w:rPr>
                <w:b/>
              </w:rPr>
              <w:t>(Address of principal executive offices)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center"/>
              <w:rPr>
                <w:b/>
              </w:rPr>
            </w:pPr>
            <w:r>
              <w:rPr>
                <w:b/>
              </w:rPr>
              <w:t xml:space="preserve">(Zip code)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51"/>
        <w:gridCol w:w="123"/>
        <w:gridCol w:w="4514"/>
      </w:tblGrid>
      <w:tr>
        <w:trPr/>
        <w:tc>
          <w:tcPr>
            <w:tcW w:w="47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14" w:type="dxa"/>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3" w:type="dxa"/>
            <w:tcBorders/>
            <w:vAlign w:val="bottom"/>
          </w:tcPr>
          <w:p>
            <w:pPr>
              <w:pStyle w:val="TableContents"/>
              <w:bidi w:val="0"/>
              <w:spacing w:before="0" w:after="283"/>
              <w:jc w:val="left"/>
              <w:rPr/>
            </w:pPr>
            <w:r>
              <w:rPr/>
              <w:t>  </w:t>
            </w:r>
          </w:p>
        </w:tc>
        <w:tc>
          <w:tcPr>
            <w:tcW w:w="451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Address</w:t>
            </w:r>
          </w:p>
        </w:tc>
      </w:tr>
      <w:tr>
        <w:trPr/>
        <w:tc>
          <w:tcPr>
            <w:tcW w:w="47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Comptroller of the Currency</w:t>
            </w:r>
          </w:p>
          <w:p>
            <w:pPr>
              <w:pStyle w:val="TableContents"/>
              <w:bidi w:val="0"/>
              <w:spacing w:before="0" w:after="20"/>
              <w:jc w:val="left"/>
              <w:rPr>
                <w:rFonts w:ascii="Times New Roman" w:hAnsi="Times New Roman"/>
                <w:sz w:val="20"/>
              </w:rPr>
            </w:pPr>
            <w:r>
              <w:rPr>
                <w:rFonts w:ascii="Times New Roman" w:hAnsi="Times New Roman"/>
                <w:sz w:val="20"/>
              </w:rPr>
              <w:t>United States Department of the Treasury</w:t>
            </w:r>
          </w:p>
        </w:tc>
        <w:tc>
          <w:tcPr>
            <w:tcW w:w="123" w:type="dxa"/>
            <w:tcBorders/>
            <w:vAlign w:val="bottom"/>
          </w:tcPr>
          <w:p>
            <w:pPr>
              <w:pStyle w:val="TableContents"/>
              <w:bidi w:val="0"/>
              <w:spacing w:before="0" w:after="283"/>
              <w:jc w:val="left"/>
              <w:rPr/>
            </w:pPr>
            <w:r>
              <w:rPr/>
              <w:t>  </w:t>
            </w:r>
          </w:p>
        </w:tc>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Washington, DC 20219</w:t>
            </w:r>
          </w:p>
        </w:tc>
      </w:tr>
      <w:tr>
        <w:trPr>
          <w:trHeight w:val="120" w:hRule="atLeast"/>
        </w:trPr>
        <w:tc>
          <w:tcPr>
            <w:tcW w:w="4751" w:type="dxa"/>
            <w:tcBorders/>
            <w:vAlign w:val="center"/>
          </w:tcPr>
          <w:p>
            <w:pPr>
              <w:pStyle w:val="TableContents"/>
              <w:bidi w:val="0"/>
              <w:spacing w:before="0" w:after="283"/>
              <w:jc w:val="left"/>
              <w:rPr>
                <w:sz w:val="4"/>
                <w:szCs w:val="4"/>
              </w:rPr>
            </w:pPr>
            <w:r>
              <w:rPr>
                <w:sz w:val="4"/>
                <w:szCs w:val="4"/>
              </w:rPr>
            </w:r>
          </w:p>
        </w:tc>
        <w:tc>
          <w:tcPr>
            <w:tcW w:w="4637" w:type="dxa"/>
            <w:gridSpan w:val="2"/>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Federal Reserve Bank</w:t>
            </w:r>
          </w:p>
        </w:tc>
        <w:tc>
          <w:tcPr>
            <w:tcW w:w="123"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 Francisco, CA 94105</w:t>
            </w:r>
          </w:p>
        </w:tc>
      </w:tr>
      <w:tr>
        <w:trPr>
          <w:trHeight w:val="120" w:hRule="atLeast"/>
        </w:trPr>
        <w:tc>
          <w:tcPr>
            <w:tcW w:w="4751" w:type="dxa"/>
            <w:tcBorders/>
            <w:vAlign w:val="center"/>
          </w:tcPr>
          <w:p>
            <w:pPr>
              <w:pStyle w:val="TableContents"/>
              <w:bidi w:val="0"/>
              <w:spacing w:before="0" w:after="283"/>
              <w:jc w:val="left"/>
              <w:rPr>
                <w:sz w:val="4"/>
                <w:szCs w:val="4"/>
              </w:rPr>
            </w:pPr>
            <w:r>
              <w:rPr>
                <w:sz w:val="4"/>
                <w:szCs w:val="4"/>
              </w:rPr>
            </w:r>
          </w:p>
        </w:tc>
        <w:tc>
          <w:tcPr>
            <w:tcW w:w="4637" w:type="dxa"/>
            <w:gridSpan w:val="2"/>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 xml:space="preserve">Federal Deposit Insurance Corporation </w:t>
            </w:r>
          </w:p>
        </w:tc>
        <w:tc>
          <w:tcPr>
            <w:tcW w:w="123"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283"/>
              <w:jc w:val="left"/>
              <w:rPr/>
            </w:pPr>
            <w:r>
              <w:rPr/>
              <w:t>Washington, DC 20429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certificate of authority of the trustee to commence business. (Exhibit 2 to Form T-1 filed with Registration Statement No. 333-121948).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(Exhibit 3 to Form T-1 filed with Registration Statement No. 333-152875).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333-229762).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333-152875).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9th day of November,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0"/>
        <w:gridCol w:w="144"/>
        <w:gridCol w:w="3178"/>
      </w:tblGrid>
      <w:tr>
        <w:trPr/>
        <w:tc>
          <w:tcPr>
            <w:tcW w:w="7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THE BANK OF NEW YORK MELLON TRUST COMPANY, N.A.</w:t>
            </w:r>
          </w:p>
        </w:tc>
      </w:tr>
      <w:tr>
        <w:trPr>
          <w:trHeight w:val="240" w:hRule="atLeast"/>
        </w:trPr>
        <w:tc>
          <w:tcPr>
            <w:tcW w:w="76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vAlign w:val="bottom"/>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178" w:type="dxa"/>
            <w:tcBorders>
              <w:bottom w:val="single" w:sz="2" w:space="0" w:color="000000"/>
            </w:tcBorders>
            <w:tcMar>
              <w:bottom w:w="28" w:type="dxa"/>
            </w:tcMar>
            <w:vAlign w:val="bottom"/>
          </w:tcPr>
          <w:p>
            <w:pPr>
              <w:pStyle w:val="TableContents"/>
              <w:bidi w:val="0"/>
              <w:spacing w:before="0" w:after="283"/>
              <w:jc w:val="left"/>
              <w:rPr/>
            </w:pPr>
            <w:r>
              <w:rPr/>
              <w:t>/s/ Ann M. Dolezal</w:t>
            </w:r>
          </w:p>
        </w:tc>
      </w:tr>
      <w:tr>
        <w:trPr/>
        <w:tc>
          <w:tcPr>
            <w:tcW w:w="7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3178" w:type="dxa"/>
            <w:tcBorders/>
            <w:vAlign w:val="bottom"/>
          </w:tcPr>
          <w:p>
            <w:pPr>
              <w:pStyle w:val="TableContents"/>
              <w:bidi w:val="0"/>
              <w:spacing w:before="0" w:after="283"/>
              <w:jc w:val="left"/>
              <w:rPr/>
            </w:pPr>
            <w:r>
              <w:rPr/>
              <w:t>Name: Ann M. Dolezal</w:t>
            </w:r>
          </w:p>
        </w:tc>
      </w:tr>
      <w:tr>
        <w:trPr/>
        <w:tc>
          <w:tcPr>
            <w:tcW w:w="7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3178"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bidi w:val="0"/>
        <w:spacing w:before="0" w:after="0"/>
        <w:jc w:val="center"/>
        <w:rPr>
          <w:rFonts w:ascii="Times New Roman" w:hAnsi="Times New Roman"/>
          <w:sz w:val="20"/>
        </w:rPr>
      </w:pPr>
      <w:r>
        <w:rPr>
          <w:rFonts w:ascii="Times New Roman" w:hAnsi="Times New Roman"/>
          <w:sz w:val="20"/>
        </w:rPr>
        <w:t xml:space="preserve">of 333 South Hope Street, Suite 2525,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At the close of business September 30, 2023, published in accordance with Federal regulatory authority instructions.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21"/>
        <w:gridCol w:w="323"/>
        <w:gridCol w:w="184"/>
        <w:gridCol w:w="1314"/>
        <w:gridCol w:w="63"/>
      </w:tblGrid>
      <w:tr>
        <w:trPr/>
        <w:tc>
          <w:tcPr>
            <w:tcW w:w="832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2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pPr>
            <w:r>
              <w:rPr/>
              <w:t>Dollar amounts</w:t>
              <w:br/>
              <w:t>in thousands</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6,412</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328,965</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520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loan and lease losses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capitalized leases)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16,471</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856,313</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110,191</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1,318,872</w:t>
            </w:r>
          </w:p>
        </w:tc>
        <w:tc>
          <w:tcPr>
            <w:tcW w:w="63" w:type="dxa"/>
            <w:tcBorders/>
            <w:vAlign w:val="bottom"/>
          </w:tcPr>
          <w:p>
            <w:pPr>
              <w:pStyle w:val="TableContents"/>
              <w:bidi w:val="0"/>
              <w:spacing w:before="0" w:after="283"/>
              <w:jc w:val="left"/>
              <w:rPr/>
            </w:pPr>
            <w:r>
              <w:rPr/>
              <w:t> </w:t>
            </w:r>
          </w:p>
        </w:tc>
      </w:tr>
      <w:tr>
        <w:trPr/>
        <w:tc>
          <w:tcPr>
            <w:tcW w:w="832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43"/>
        <w:gridCol w:w="145"/>
        <w:gridCol w:w="60"/>
        <w:gridCol w:w="995"/>
        <w:gridCol w:w="62"/>
      </w:tblGrid>
      <w:tr>
        <w:trPr/>
        <w:tc>
          <w:tcPr>
            <w:tcW w:w="894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1,063</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1,063</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(includes mortgage indebtedness and obligations under capitalized leases)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265,839</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266,902</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EQUITY CAPITAL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Perpetual preferred stock and related surplus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1,000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106,172</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available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944,799</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available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1,051,970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(minority) interests in consolidated subsidiaries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1,051,970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1,318,872</w:t>
            </w:r>
          </w:p>
        </w:tc>
        <w:tc>
          <w:tcPr>
            <w:tcW w:w="62" w:type="dxa"/>
            <w:tcBorders/>
            <w:vAlign w:val="bottom"/>
          </w:tcPr>
          <w:p>
            <w:pPr>
              <w:pStyle w:val="TableContents"/>
              <w:bidi w:val="0"/>
              <w:spacing w:before="0" w:after="283"/>
              <w:jc w:val="left"/>
              <w:rPr/>
            </w:pPr>
            <w:r>
              <w:rPr/>
              <w:t> </w:t>
            </w:r>
          </w:p>
        </w:tc>
      </w:tr>
      <w:tr>
        <w:trPr/>
        <w:tc>
          <w:tcPr>
            <w:tcW w:w="894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
        <w:gridCol w:w="120"/>
        <w:gridCol w:w="1735"/>
        <w:gridCol w:w="120"/>
        <w:gridCol w:w="115"/>
        <w:gridCol w:w="120"/>
        <w:gridCol w:w="7632"/>
      </w:tblGrid>
      <w:tr>
        <w:trPr/>
        <w:tc>
          <w:tcPr>
            <w:tcW w:w="3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32" w:type="dxa"/>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pPr>
            <w:r>
              <w:rPr/>
              <w:t>Matthew J. McNulty</w:t>
            </w:r>
          </w:p>
        </w:tc>
        <w:tc>
          <w:tcPr>
            <w:tcW w:w="120"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32" w:type="dxa"/>
            <w:tcBorders/>
          </w:tcPr>
          <w:p>
            <w:pPr>
              <w:pStyle w:val="TableContents"/>
              <w:bidi w:val="0"/>
              <w:spacing w:before="0" w:after="283"/>
              <w:jc w:val="left"/>
              <w:rPr/>
            </w:pPr>
            <w:r>
              <w:rPr/>
              <w:t>CFO</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
        <w:gridCol w:w="109"/>
        <w:gridCol w:w="3214"/>
        <w:gridCol w:w="122"/>
        <w:gridCol w:w="116"/>
        <w:gridCol w:w="122"/>
        <w:gridCol w:w="6156"/>
      </w:tblGrid>
      <w:tr>
        <w:trPr/>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56"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Antonio I. Portuondo, President</w:t>
            </w:r>
          </w:p>
        </w:tc>
        <w:tc>
          <w:tcPr>
            <w:tcW w:w="122"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Loretta A. Lundberg, Managing Director</w:t>
            </w:r>
          </w:p>
        </w:tc>
        <w:tc>
          <w:tcPr>
            <w:tcW w:w="122"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Directors (Trustees)</w:t>
            </w:r>
          </w:p>
        </w:tc>
      </w:tr>
      <w:tr>
        <w:trPr/>
        <w:tc>
          <w:tcPr>
            <w:tcW w:w="36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Jon M. Pocchia, Managing Director</w:t>
            </w:r>
          </w:p>
        </w:tc>
        <w:tc>
          <w:tcPr>
            <w:tcW w:w="122"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TextBody"/>
        <w:bidi w:val="0"/>
        <w:spacing w:before="0" w:after="0"/>
        <w:jc w:val="right"/>
        <w:rPr>
          <w:rFonts w:ascii="Times New Roman" w:hAnsi="Times New Roman"/>
          <w:b/>
          <w:sz w:val="20"/>
        </w:rPr>
      </w:pPr>
      <w:bookmarkStart w:id="32" w:name="d899567dex252.htm"/>
      <w:bookmarkStart w:id="33" w:name="ksd899567dex252"/>
      <w:bookmarkEnd w:id="32"/>
      <w:bookmarkEnd w:id="33"/>
      <w:r>
        <w:rPr>
          <w:rFonts w:ascii="Times New Roman" w:hAnsi="Times New Roman"/>
          <w:b/>
          <w:sz w:val="20"/>
        </w:rPr>
        <w:t xml:space="preserve">Exhibit 25.2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48"/>
        </w:rPr>
      </w:pPr>
      <w:r>
        <w:rPr>
          <w:rFonts w:ascii="Times New Roman" w:hAnsi="Times New Roman"/>
          <w:b/>
          <w:sz w:val="48"/>
        </w:rPr>
        <w:t xml:space="preserve">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95-3571558</w:t>
            </w:r>
          </w:p>
        </w:tc>
      </w:tr>
      <w:tr>
        <w:trPr/>
        <w:tc>
          <w:tcPr>
            <w:tcW w:w="5153" w:type="dxa"/>
            <w:tcBorders/>
          </w:tcPr>
          <w:p>
            <w:pPr>
              <w:pStyle w:val="TableContents"/>
              <w:bidi w:val="0"/>
              <w:spacing w:before="0" w:after="283"/>
              <w:jc w:val="center"/>
              <w:rPr>
                <w:b/>
              </w:rPr>
            </w:pPr>
            <w:r>
              <w:rPr>
                <w:b/>
              </w:rPr>
              <w:t xml:space="preserve">(Jurisdiction of incorporation </w:t>
              <w:br/>
              <w:t>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(I.R.S. employer </w:t>
              <w:b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 xml:space="preserve">333 South Hope Street </w:t>
              <w:br/>
              <w:t>Suite 2525</w:t>
            </w:r>
          </w:p>
          <w:p>
            <w:pPr>
              <w:pStyle w:val="TableContents"/>
              <w:bidi w:val="0"/>
              <w:spacing w:before="0" w:after="20"/>
              <w:jc w:val="center"/>
              <w:rPr>
                <w:rFonts w:ascii="Times New Roman" w:hAnsi="Times New Roman"/>
                <w:b/>
                <w:sz w:val="20"/>
              </w:rPr>
            </w:pPr>
            <w:r>
              <w:rPr>
                <w:rFonts w:ascii="Times New Roman" w:hAnsi="Times New Roman"/>
                <w:b/>
                <w:sz w:val="20"/>
              </w:rPr>
              <w:t>Los Angeles,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90071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Southwest Gas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California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88-0085720 </w:t>
            </w:r>
          </w:p>
        </w:tc>
      </w:tr>
      <w:tr>
        <w:trPr/>
        <w:tc>
          <w:tcPr>
            <w:tcW w:w="5153" w:type="dxa"/>
            <w:tcBorders/>
          </w:tcPr>
          <w:p>
            <w:pPr>
              <w:pStyle w:val="TableContents"/>
              <w:bidi w:val="0"/>
              <w:spacing w:before="0" w:after="283"/>
              <w:jc w:val="center"/>
              <w:rPr>
                <w:b/>
              </w:rPr>
            </w:pPr>
            <w:r>
              <w:rPr>
                <w:b/>
              </w:rPr>
              <w:t xml:space="preserve">(State or other jurisdiction of </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(I.R.S. employer </w:t>
              <w:b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8360 S. Durango Drive</w:t>
            </w:r>
          </w:p>
          <w:p>
            <w:pPr>
              <w:pStyle w:val="TableContents"/>
              <w:bidi w:val="0"/>
              <w:spacing w:before="0" w:after="0"/>
              <w:jc w:val="center"/>
              <w:rPr>
                <w:rFonts w:ascii="Times New Roman" w:hAnsi="Times New Roman"/>
                <w:b/>
                <w:sz w:val="20"/>
              </w:rPr>
            </w:pPr>
            <w:r>
              <w:rPr>
                <w:rFonts w:ascii="Times New Roman" w:hAnsi="Times New Roman"/>
                <w:b/>
                <w:sz w:val="20"/>
              </w:rPr>
              <w:t>P.O. Box 98510</w:t>
            </w:r>
          </w:p>
          <w:p>
            <w:pPr>
              <w:pStyle w:val="TableContents"/>
              <w:bidi w:val="0"/>
              <w:spacing w:before="0" w:after="20"/>
              <w:jc w:val="center"/>
              <w:rPr>
                <w:rFonts w:ascii="Times New Roman" w:hAnsi="Times New Roman"/>
                <w:b/>
                <w:sz w:val="20"/>
              </w:rPr>
            </w:pPr>
            <w:r>
              <w:rPr>
                <w:rFonts w:ascii="Times New Roman" w:hAnsi="Times New Roman"/>
                <w:b/>
                <w:sz w:val="20"/>
              </w:rPr>
              <w:t xml:space="preserve">Las Vegas, Nevada </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89193-8510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(Zip code)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45"/>
        <w:gridCol w:w="123"/>
        <w:gridCol w:w="5720"/>
      </w:tblGrid>
      <w:tr>
        <w:trPr/>
        <w:tc>
          <w:tcPr>
            <w:tcW w:w="35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3" w:type="dxa"/>
            <w:tcBorders/>
            <w:vAlign w:val="bottom"/>
          </w:tcPr>
          <w:p>
            <w:pPr>
              <w:pStyle w:val="TableContents"/>
              <w:bidi w:val="0"/>
              <w:spacing w:before="0" w:after="283"/>
              <w:jc w:val="left"/>
              <w:rPr/>
            </w:pPr>
            <w:r>
              <w:rPr/>
              <w:t>  </w:t>
            </w:r>
          </w:p>
        </w:tc>
        <w:tc>
          <w:tcPr>
            <w:tcW w:w="572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Address</w:t>
            </w:r>
          </w:p>
        </w:tc>
      </w:tr>
      <w:tr>
        <w:trPr/>
        <w:tc>
          <w:tcPr>
            <w:tcW w:w="3545" w:type="dxa"/>
            <w:tcBorders/>
          </w:tcPr>
          <w:p>
            <w:pPr>
              <w:pStyle w:val="TableContents"/>
              <w:bidi w:val="0"/>
              <w:spacing w:before="0" w:after="0"/>
              <w:jc w:val="left"/>
              <w:rPr>
                <w:rFonts w:ascii="Times New Roman" w:hAnsi="Times New Roman"/>
                <w:sz w:val="20"/>
              </w:rPr>
            </w:pPr>
            <w:r>
              <w:rPr>
                <w:rFonts w:ascii="Times New Roman" w:hAnsi="Times New Roman"/>
                <w:sz w:val="20"/>
              </w:rPr>
              <w:t>Comptroller of the Currency</w:t>
            </w:r>
          </w:p>
          <w:p>
            <w:pPr>
              <w:pStyle w:val="TableContents"/>
              <w:bidi w:val="0"/>
              <w:spacing w:before="0" w:after="20"/>
              <w:jc w:val="left"/>
              <w:rPr>
                <w:rFonts w:ascii="Times New Roman" w:hAnsi="Times New Roman"/>
                <w:sz w:val="20"/>
              </w:rPr>
            </w:pPr>
            <w:r>
              <w:rPr>
                <w:rFonts w:ascii="Times New Roman" w:hAnsi="Times New Roman"/>
                <w:sz w:val="20"/>
              </w:rPr>
              <w:t>United States Department of the Treasury</w:t>
            </w:r>
          </w:p>
        </w:tc>
        <w:tc>
          <w:tcPr>
            <w:tcW w:w="123" w:type="dxa"/>
            <w:tcBorders/>
            <w:vAlign w:val="bottom"/>
          </w:tcPr>
          <w:p>
            <w:pPr>
              <w:pStyle w:val="TableContents"/>
              <w:bidi w:val="0"/>
              <w:spacing w:before="0" w:after="283"/>
              <w:jc w:val="left"/>
              <w:rPr/>
            </w:pPr>
            <w:r>
              <w:rPr/>
              <w:t>  </w:t>
            </w:r>
          </w:p>
        </w:tc>
        <w:tc>
          <w:tcPr>
            <w:tcW w:w="5720" w:type="dxa"/>
            <w:tcBorders/>
          </w:tcPr>
          <w:p>
            <w:pPr>
              <w:pStyle w:val="TableContents"/>
              <w:bidi w:val="0"/>
              <w:spacing w:before="0" w:after="283"/>
              <w:jc w:val="left"/>
              <w:rPr/>
            </w:pPr>
            <w:r>
              <w:rPr/>
              <w:t>Washington, DC 20219</w:t>
            </w:r>
          </w:p>
        </w:tc>
      </w:tr>
      <w:tr>
        <w:trPr>
          <w:trHeight w:val="120" w:hRule="atLeast"/>
        </w:trPr>
        <w:tc>
          <w:tcPr>
            <w:tcW w:w="3545" w:type="dxa"/>
            <w:tcBorders/>
            <w:vAlign w:val="center"/>
          </w:tcPr>
          <w:p>
            <w:pPr>
              <w:pStyle w:val="TableContents"/>
              <w:bidi w:val="0"/>
              <w:spacing w:before="0" w:after="283"/>
              <w:jc w:val="left"/>
              <w:rPr>
                <w:sz w:val="4"/>
                <w:szCs w:val="4"/>
              </w:rPr>
            </w:pPr>
            <w:r>
              <w:rPr>
                <w:sz w:val="4"/>
                <w:szCs w:val="4"/>
              </w:rPr>
            </w:r>
          </w:p>
        </w:tc>
        <w:tc>
          <w:tcPr>
            <w:tcW w:w="5843"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bidi w:val="0"/>
              <w:spacing w:before="0" w:after="283"/>
              <w:jc w:val="left"/>
              <w:rPr/>
            </w:pPr>
            <w:r>
              <w:rPr/>
              <w:t>Federal Reserve Bank</w:t>
            </w:r>
          </w:p>
        </w:tc>
        <w:tc>
          <w:tcPr>
            <w:tcW w:w="123" w:type="dxa"/>
            <w:tcBorders/>
            <w:vAlign w:val="bottom"/>
          </w:tcPr>
          <w:p>
            <w:pPr>
              <w:pStyle w:val="TableContents"/>
              <w:bidi w:val="0"/>
              <w:spacing w:before="0" w:after="283"/>
              <w:jc w:val="left"/>
              <w:rPr/>
            </w:pPr>
            <w:r>
              <w:rPr/>
              <w:t>  </w:t>
            </w:r>
          </w:p>
        </w:tc>
        <w:tc>
          <w:tcPr>
            <w:tcW w:w="5720" w:type="dxa"/>
            <w:tcBorders/>
          </w:tcPr>
          <w:p>
            <w:pPr>
              <w:pStyle w:val="TableContents"/>
              <w:bidi w:val="0"/>
              <w:spacing w:before="0" w:after="283"/>
              <w:jc w:val="left"/>
              <w:rPr/>
            </w:pPr>
            <w:r>
              <w:rPr/>
              <w:t>San Francisco, CA 94105</w:t>
            </w:r>
          </w:p>
        </w:tc>
      </w:tr>
      <w:tr>
        <w:trPr>
          <w:trHeight w:val="120" w:hRule="atLeast"/>
        </w:trPr>
        <w:tc>
          <w:tcPr>
            <w:tcW w:w="3545" w:type="dxa"/>
            <w:tcBorders/>
            <w:vAlign w:val="center"/>
          </w:tcPr>
          <w:p>
            <w:pPr>
              <w:pStyle w:val="TableContents"/>
              <w:bidi w:val="0"/>
              <w:spacing w:before="0" w:after="283"/>
              <w:jc w:val="left"/>
              <w:rPr>
                <w:sz w:val="4"/>
                <w:szCs w:val="4"/>
              </w:rPr>
            </w:pPr>
            <w:r>
              <w:rPr>
                <w:sz w:val="4"/>
                <w:szCs w:val="4"/>
              </w:rPr>
            </w:r>
          </w:p>
        </w:tc>
        <w:tc>
          <w:tcPr>
            <w:tcW w:w="5843" w:type="dxa"/>
            <w:gridSpan w:val="2"/>
            <w:tcBorders/>
            <w:vAlign w:val="center"/>
          </w:tcPr>
          <w:p>
            <w:pPr>
              <w:pStyle w:val="TableContents"/>
              <w:bidi w:val="0"/>
              <w:spacing w:before="0" w:after="283"/>
              <w:jc w:val="left"/>
              <w:rPr>
                <w:sz w:val="4"/>
                <w:szCs w:val="4"/>
              </w:rPr>
            </w:pPr>
            <w:r>
              <w:rPr>
                <w:sz w:val="4"/>
                <w:szCs w:val="4"/>
              </w:rPr>
            </w:r>
          </w:p>
        </w:tc>
      </w:tr>
      <w:tr>
        <w:trPr/>
        <w:tc>
          <w:tcPr>
            <w:tcW w:w="3545" w:type="dxa"/>
            <w:tcBorders/>
          </w:tcPr>
          <w:p>
            <w:pPr>
              <w:pStyle w:val="TableContents"/>
              <w:bidi w:val="0"/>
              <w:spacing w:before="0" w:after="283"/>
              <w:jc w:val="left"/>
              <w:rPr/>
            </w:pPr>
            <w:r>
              <w:rPr/>
              <w:t>Federal Deposit Insurance Corporation</w:t>
            </w:r>
          </w:p>
        </w:tc>
        <w:tc>
          <w:tcPr>
            <w:tcW w:w="123" w:type="dxa"/>
            <w:tcBorders/>
            <w:vAlign w:val="bottom"/>
          </w:tcPr>
          <w:p>
            <w:pPr>
              <w:pStyle w:val="TableContents"/>
              <w:bidi w:val="0"/>
              <w:spacing w:before="0" w:after="283"/>
              <w:jc w:val="left"/>
              <w:rPr/>
            </w:pPr>
            <w:r>
              <w:rPr/>
              <w:t>  </w:t>
            </w:r>
          </w:p>
        </w:tc>
        <w:tc>
          <w:tcPr>
            <w:tcW w:w="5720" w:type="dxa"/>
            <w:tcBorders/>
          </w:tcPr>
          <w:p>
            <w:pPr>
              <w:pStyle w:val="TableContents"/>
              <w:bidi w:val="0"/>
              <w:spacing w:before="0" w:after="283"/>
              <w:jc w:val="left"/>
              <w:rPr/>
            </w:pPr>
            <w:r>
              <w:rPr/>
              <w:t>Washington, DC 20429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certificate of authority of the trustee to commence business. (Exhibit 2 to Form T-1 filed with Registration Statement No. 333-121948).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(Exhibit 3 to Form T-1 filed with Registration Statement No. 333-152875).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333-229762).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333-152875).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9th day of November,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0"/>
        <w:gridCol w:w="144"/>
        <w:gridCol w:w="3178"/>
      </w:tblGrid>
      <w:tr>
        <w:trPr/>
        <w:tc>
          <w:tcPr>
            <w:tcW w:w="7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THE BANK OF NEW YORK MELLON TRUST COMPANY, N.A.</w:t>
            </w:r>
          </w:p>
        </w:tc>
      </w:tr>
      <w:tr>
        <w:trPr>
          <w:trHeight w:val="240" w:hRule="atLeast"/>
        </w:trPr>
        <w:tc>
          <w:tcPr>
            <w:tcW w:w="76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178" w:type="dxa"/>
            <w:tcBorders>
              <w:bottom w:val="single" w:sz="2" w:space="0" w:color="000000"/>
            </w:tcBorders>
            <w:tcMar>
              <w:bottom w:w="28" w:type="dxa"/>
            </w:tcMar>
          </w:tcPr>
          <w:p>
            <w:pPr>
              <w:pStyle w:val="TableContents"/>
              <w:bidi w:val="0"/>
              <w:spacing w:before="0" w:after="283"/>
              <w:jc w:val="left"/>
              <w:rPr/>
            </w:pPr>
            <w:r>
              <w:rPr/>
              <w:t>/s/ Ann M. Dolezal</w:t>
            </w:r>
          </w:p>
        </w:tc>
      </w:tr>
      <w:tr>
        <w:trPr/>
        <w:tc>
          <w:tcPr>
            <w:tcW w:w="7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3178" w:type="dxa"/>
            <w:tcBorders/>
            <w:vAlign w:val="bottom"/>
          </w:tcPr>
          <w:p>
            <w:pPr>
              <w:pStyle w:val="TableContents"/>
              <w:bidi w:val="0"/>
              <w:spacing w:before="0" w:after="283"/>
              <w:jc w:val="left"/>
              <w:rPr/>
            </w:pPr>
            <w:r>
              <w:rPr/>
              <w:t>Name: Ann M. Dolezal</w:t>
            </w:r>
          </w:p>
        </w:tc>
      </w:tr>
      <w:tr>
        <w:trPr/>
        <w:tc>
          <w:tcPr>
            <w:tcW w:w="7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3178"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bidi w:val="0"/>
        <w:spacing w:before="0" w:after="0"/>
        <w:jc w:val="center"/>
        <w:rPr>
          <w:rFonts w:ascii="Times New Roman" w:hAnsi="Times New Roman"/>
          <w:sz w:val="20"/>
        </w:rPr>
      </w:pPr>
      <w:r>
        <w:rPr>
          <w:rFonts w:ascii="Times New Roman" w:hAnsi="Times New Roman"/>
          <w:sz w:val="20"/>
        </w:rPr>
        <w:t xml:space="preserve">of 333 South Hope Street, Suite 2525,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At the close of business September 30, 2023, published in accordance with Federal regulatory authority instructions.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21"/>
        <w:gridCol w:w="323"/>
        <w:gridCol w:w="184"/>
        <w:gridCol w:w="1314"/>
        <w:gridCol w:w="63"/>
      </w:tblGrid>
      <w:tr>
        <w:trPr/>
        <w:tc>
          <w:tcPr>
            <w:tcW w:w="832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2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pPr>
            <w:r>
              <w:rPr/>
              <w:t>Dollar amounts</w:t>
              <w:br/>
              <w:t>in thousands</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6,412</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328,965</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520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loan and lease losses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capitalized leases)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16,471</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856,313</w:t>
            </w:r>
          </w:p>
        </w:tc>
        <w:tc>
          <w:tcPr>
            <w:tcW w:w="63" w:type="dxa"/>
            <w:tcBorders/>
            <w:vAlign w:val="bottom"/>
          </w:tcPr>
          <w:p>
            <w:pPr>
              <w:pStyle w:val="TableContents"/>
              <w:bidi w:val="0"/>
              <w:spacing w:before="0" w:after="283"/>
              <w:jc w:val="left"/>
              <w:rPr/>
            </w:pPr>
            <w:r>
              <w:rPr/>
              <w:t> </w:t>
            </w:r>
          </w:p>
        </w:tc>
      </w:tr>
      <w:tr>
        <w:trPr/>
        <w:tc>
          <w:tcPr>
            <w:tcW w:w="8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2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110,191</w:t>
            </w:r>
          </w:p>
        </w:tc>
        <w:tc>
          <w:tcPr>
            <w:tcW w:w="63" w:type="dxa"/>
            <w:tcBorders/>
            <w:shd w:fill="CCEEFF" w:val="clear"/>
            <w:vAlign w:val="bottom"/>
          </w:tcPr>
          <w:p>
            <w:pPr>
              <w:pStyle w:val="TableContents"/>
              <w:bidi w:val="0"/>
              <w:spacing w:before="0" w:after="283"/>
              <w:jc w:val="left"/>
              <w:rPr/>
            </w:pPr>
            <w:r>
              <w:rPr/>
              <w:t> </w:t>
            </w:r>
          </w:p>
        </w:tc>
      </w:tr>
      <w:tr>
        <w:trPr/>
        <w:tc>
          <w:tcPr>
            <w:tcW w:w="832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32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1,318,872</w:t>
            </w:r>
          </w:p>
        </w:tc>
        <w:tc>
          <w:tcPr>
            <w:tcW w:w="63" w:type="dxa"/>
            <w:tcBorders/>
            <w:vAlign w:val="bottom"/>
          </w:tcPr>
          <w:p>
            <w:pPr>
              <w:pStyle w:val="TableContents"/>
              <w:bidi w:val="0"/>
              <w:spacing w:before="0" w:after="283"/>
              <w:jc w:val="left"/>
              <w:rPr/>
            </w:pPr>
            <w:r>
              <w:rPr/>
              <w:t> </w:t>
            </w:r>
          </w:p>
        </w:tc>
      </w:tr>
      <w:tr>
        <w:trPr/>
        <w:tc>
          <w:tcPr>
            <w:tcW w:w="832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43"/>
        <w:gridCol w:w="145"/>
        <w:gridCol w:w="60"/>
        <w:gridCol w:w="995"/>
        <w:gridCol w:w="62"/>
      </w:tblGrid>
      <w:tr>
        <w:trPr/>
        <w:tc>
          <w:tcPr>
            <w:tcW w:w="894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1,063</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1,063</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(includes mortgage indebtedness and obligations under capitalized leases)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265,839</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266,902</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94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EQUITY CAPITAL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Perpetual preferred stock and related surplus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1,000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106,172</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available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944,799</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Not available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1,051,970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(minority) interests in consolidated subsidiaries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1,051,970</w:t>
            </w:r>
          </w:p>
        </w:tc>
        <w:tc>
          <w:tcPr>
            <w:tcW w:w="62" w:type="dxa"/>
            <w:tcBorders/>
            <w:shd w:fill="CCEEFF" w:val="clear"/>
            <w:vAlign w:val="bottom"/>
          </w:tcPr>
          <w:p>
            <w:pPr>
              <w:pStyle w:val="TableContents"/>
              <w:bidi w:val="0"/>
              <w:spacing w:before="0" w:after="283"/>
              <w:jc w:val="left"/>
              <w:rPr/>
            </w:pPr>
            <w:r>
              <w:rPr/>
              <w:t> </w:t>
            </w:r>
          </w:p>
        </w:tc>
      </w:tr>
      <w:tr>
        <w:trPr/>
        <w:tc>
          <w:tcPr>
            <w:tcW w:w="894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94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1,318,872</w:t>
            </w:r>
          </w:p>
        </w:tc>
        <w:tc>
          <w:tcPr>
            <w:tcW w:w="62" w:type="dxa"/>
            <w:tcBorders/>
            <w:vAlign w:val="bottom"/>
          </w:tcPr>
          <w:p>
            <w:pPr>
              <w:pStyle w:val="TableContents"/>
              <w:bidi w:val="0"/>
              <w:spacing w:before="0" w:after="283"/>
              <w:jc w:val="left"/>
              <w:rPr/>
            </w:pPr>
            <w:r>
              <w:rPr/>
              <w:t> </w:t>
            </w:r>
          </w:p>
        </w:tc>
      </w:tr>
      <w:tr>
        <w:trPr/>
        <w:tc>
          <w:tcPr>
            <w:tcW w:w="894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 </w:t>
      </w:r>
    </w:p>
    <w:p>
      <w:pPr>
        <w:pStyle w:val="TextBody"/>
        <w:bidi w:val="0"/>
        <w:spacing w:before="240" w:after="0"/>
        <w:jc w:val="left"/>
        <w:rPr>
          <w:rFonts w:ascii="Times New Roman" w:hAnsi="Times New Roman"/>
          <w:sz w:val="20"/>
        </w:rPr>
      </w:pPr>
      <w:r>
        <w:rPr>
          <w:rFonts w:ascii="Times New Roman" w:hAnsi="Times New Roman"/>
          <w:sz w:val="20"/>
        </w:rPr>
        <w:t xml:space="preserve">Matthew J. McNulty     )         CFO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Antonio I. Portuondo, President                    ) </w:t>
      </w:r>
    </w:p>
    <w:p>
      <w:pPr>
        <w:pStyle w:val="TextBody"/>
        <w:bidi w:val="0"/>
        <w:spacing w:before="0" w:after="0"/>
        <w:jc w:val="left"/>
        <w:rPr>
          <w:rFonts w:ascii="Times New Roman" w:hAnsi="Times New Roman"/>
          <w:sz w:val="20"/>
        </w:rPr>
      </w:pPr>
      <w:r>
        <w:rPr>
          <w:rFonts w:ascii="Times New Roman" w:hAnsi="Times New Roman"/>
          <w:sz w:val="20"/>
        </w:rPr>
        <w:t xml:space="preserve">Loretta A. Lundberg, Managing Director      )         Directors (Trustees) </w:t>
      </w:r>
    </w:p>
    <w:p>
      <w:pPr>
        <w:pStyle w:val="TextBody"/>
        <w:bidi w:val="0"/>
        <w:spacing w:before="0" w:after="0"/>
        <w:jc w:val="left"/>
        <w:rPr>
          <w:rFonts w:ascii="Times New Roman" w:hAnsi="Times New Roman"/>
          <w:sz w:val="20"/>
        </w:rPr>
      </w:pPr>
      <w:r>
        <w:rPr>
          <w:rFonts w:ascii="Times New Roman" w:hAnsi="Times New Roman"/>
          <w:sz w:val="20"/>
        </w:rPr>
        <w:t xml:space="preserve">Jon M. Pocchia, Managing Director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TextBody"/>
        <w:bidi w:val="0"/>
        <w:spacing w:before="0" w:after="0"/>
        <w:jc w:val="right"/>
        <w:rPr>
          <w:rFonts w:ascii="Times New Roman" w:hAnsi="Times New Roman"/>
          <w:b/>
          <w:sz w:val="20"/>
        </w:rPr>
      </w:pPr>
      <w:bookmarkStart w:id="34" w:name="d899567dexfilingfees.htm"/>
      <w:bookmarkStart w:id="35" w:name="ksd899567dexfilingfees"/>
      <w:bookmarkEnd w:id="34"/>
      <w:bookmarkEnd w:id="35"/>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Southwest Gas Holdings,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3985" w:type="dxa"/>
        <w:jc w:val="center"/>
        <w:tblInd w:w="0" w:type="dxa"/>
        <w:tblLayout w:type="fixed"/>
        <w:tblCellMar>
          <w:top w:w="0" w:type="dxa"/>
          <w:left w:w="0" w:type="dxa"/>
          <w:bottom w:w="0" w:type="dxa"/>
          <w:right w:w="0" w:type="dxa"/>
        </w:tblCellMar>
      </w:tblPr>
      <w:tblGrid>
        <w:gridCol w:w="1025"/>
        <w:gridCol w:w="60"/>
        <w:gridCol w:w="800"/>
        <w:gridCol w:w="60"/>
        <w:gridCol w:w="1925"/>
        <w:gridCol w:w="60"/>
        <w:gridCol w:w="695"/>
        <w:gridCol w:w="60"/>
        <w:gridCol w:w="1295"/>
        <w:gridCol w:w="60"/>
        <w:gridCol w:w="995"/>
        <w:gridCol w:w="60"/>
        <w:gridCol w:w="1010"/>
        <w:gridCol w:w="60"/>
        <w:gridCol w:w="530"/>
        <w:gridCol w:w="60"/>
        <w:gridCol w:w="1160"/>
        <w:gridCol w:w="60"/>
        <w:gridCol w:w="890"/>
        <w:gridCol w:w="60"/>
        <w:gridCol w:w="890"/>
        <w:gridCol w:w="60"/>
        <w:gridCol w:w="875"/>
        <w:gridCol w:w="60"/>
        <w:gridCol w:w="117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0"/>
              <w:jc w:val="center"/>
              <w:rPr>
                <w:rFonts w:ascii="Times New Roman" w:hAnsi="Times New Roman"/>
                <w:sz w:val="14"/>
              </w:rPr>
            </w:pPr>
            <w:r>
              <w:rPr>
                <w:rFonts w:ascii="Times New Roman" w:hAnsi="Times New Roman"/>
                <w:sz w:val="14"/>
              </w:rPr>
              <w:t>or 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Maximum</w:t>
              <w:br/>
              <w:t>Aggregate</w:t>
              <w:br/>
              <w:t>Offering</w:t>
              <w:br/>
              <w:t>Price(1)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Fee</w:t>
              <w:br/>
              <w:t>Rate(2)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center"/>
              <w:rPr/>
            </w:pPr>
            <w:r>
              <w:rPr/>
              <w:t>Carry</w:t>
              <w:br/>
              <w:t>Forward </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center"/>
              <w:rPr/>
            </w:pPr>
            <w:r>
              <w:rPr/>
              <w:t>Carry</w:t>
              <w:br/>
              <w:t>Forward </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bottom"/>
          </w:tcPr>
          <w:p>
            <w:pPr>
              <w:pStyle w:val="TableContents"/>
              <w:bidi w:val="0"/>
              <w:spacing w:before="0" w:after="283"/>
              <w:jc w:val="center"/>
              <w:rPr/>
            </w:pPr>
            <w:r>
              <w:rPr/>
              <w:t>Filing Fee</w:t>
              <w:br/>
              <w:t>Previously</w:t>
              <w:br/>
              <w:t>Paid in</w:t>
              <w:br/>
              <w:t>Connection</w:t>
              <w:br/>
              <w:t>with Unsold</w:t>
              <w:br/>
              <w:t>Securities to</w:t>
              <w:br/>
              <w:t>Be Carried</w:t>
              <w:br/>
              <w:t>Forward</w:t>
            </w:r>
          </w:p>
        </w:tc>
      </w:tr>
      <w:tr>
        <w:trPr>
          <w:trHeight w:val="15" w:hRule="atLeast"/>
        </w:trPr>
        <w:tc>
          <w:tcPr>
            <w:tcW w:w="1398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98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to Be</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Common Stock, par value $1.00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Preferred Stock, par value $1.00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Guarantees of Debt Securities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Depositary Shares (4)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Warrants (5)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Units (6)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Rights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w:t>
              <w:br/>
              <w:t>Previously</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398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985" w:type="dxa"/>
            <w:gridSpan w:val="25"/>
            <w:tcBorders>
              <w:left w:val="single" w:sz="2" w:space="0" w:color="000000"/>
              <w:right w:val="single" w:sz="2" w:space="0" w:color="000000"/>
            </w:tcBorders>
            <w:tcMar>
              <w:left w:w="160" w:type="dxa"/>
              <w:right w:w="40" w:type="dxa"/>
            </w:tcMar>
            <w:vAlign w:val="center"/>
          </w:tcPr>
          <w:p>
            <w:pPr>
              <w:pStyle w:val="TableContents"/>
              <w:bidi w:val="0"/>
              <w:spacing w:before="0" w:after="283"/>
              <w:jc w:val="center"/>
              <w:rPr/>
            </w:pPr>
            <w:r>
              <w:rPr/>
              <w:t>Carry Forward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9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Carry</w:t>
              <w:br/>
              <w:t>Forward</w:t>
              <w:b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center"/>
          </w:tcPr>
          <w:p>
            <w:pPr>
              <w:pStyle w:val="TableContents"/>
              <w:bidi w:val="0"/>
              <w:spacing w:before="0" w:after="283"/>
              <w:jc w:val="center"/>
              <w:rPr/>
            </w:pPr>
            <w:r>
              <w:rPr/>
              <w:t>N/A</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95" w:type="dxa"/>
            <w:gridSpan w:val="7"/>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10" w:type="dxa"/>
            <w:tcBorders>
              <w:bottom w:val="single" w:sz="2" w:space="0" w:color="000000"/>
            </w:tcBorders>
            <w:tcMar>
              <w:bottom w:w="28" w:type="dxa"/>
            </w:tcMar>
            <w:vAlign w:val="bottom"/>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7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the anti-dilution provisions of any of the securities. Separate consideration may or may not be received for securities that are issuable upon conversion, exercise or exchange of other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Securities Act Rules 456(b) and 457(r), the registrant is deferring payment of all registration fees and will pay the registration fees subsequently in advance or on a pay-as-you-go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separate consideration will be received for the guarantees. Pursuant to Rule 457(n) under the Securities Act, no registration fee is required with respect to the guarantees.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depositary share will be issued under a deposit agreement, will represent an interest in a fractional share or multiple shares of preferred stock and will be evidenced by a depositary receipt.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covered by this registration statement may be warrants for common stock or preferred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unit will be issued under a unit agreement or indenture and will represent an interest in two or more securities, which may be any of the securities registered under this registration statement, as amended, which securities may or may not be separable from one another.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Southwest Gas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2980" w:type="dxa"/>
        <w:jc w:val="center"/>
        <w:tblInd w:w="0" w:type="dxa"/>
        <w:tblLayout w:type="fixed"/>
        <w:tblCellMar>
          <w:top w:w="0" w:type="dxa"/>
          <w:left w:w="0" w:type="dxa"/>
          <w:bottom w:w="0" w:type="dxa"/>
          <w:right w:w="0" w:type="dxa"/>
        </w:tblCellMar>
      </w:tblPr>
      <w:tblGrid>
        <w:gridCol w:w="1025"/>
        <w:gridCol w:w="60"/>
        <w:gridCol w:w="560"/>
        <w:gridCol w:w="60"/>
        <w:gridCol w:w="1460"/>
        <w:gridCol w:w="60"/>
        <w:gridCol w:w="695"/>
        <w:gridCol w:w="60"/>
        <w:gridCol w:w="1100"/>
        <w:gridCol w:w="60"/>
        <w:gridCol w:w="995"/>
        <w:gridCol w:w="60"/>
        <w:gridCol w:w="1010"/>
        <w:gridCol w:w="60"/>
        <w:gridCol w:w="530"/>
        <w:gridCol w:w="60"/>
        <w:gridCol w:w="1160"/>
        <w:gridCol w:w="60"/>
        <w:gridCol w:w="830"/>
        <w:gridCol w:w="60"/>
        <w:gridCol w:w="830"/>
        <w:gridCol w:w="60"/>
        <w:gridCol w:w="875"/>
        <w:gridCol w:w="60"/>
        <w:gridCol w:w="119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0"/>
              <w:jc w:val="center"/>
              <w:rPr>
                <w:rFonts w:ascii="Times New Roman" w:hAnsi="Times New Roman"/>
                <w:sz w:val="14"/>
              </w:rPr>
            </w:pPr>
            <w:r>
              <w:rPr>
                <w:rFonts w:ascii="Times New Roman" w:hAnsi="Times New Roman"/>
                <w:sz w:val="14"/>
              </w:rPr>
              <w:t>or 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Maximum</w:t>
              <w:br/>
              <w:t>Aggregate</w:t>
              <w:br/>
              <w:t>Offering</w:t>
              <w:br/>
              <w:t>Price(1)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Fee</w:t>
              <w:br/>
              <w:t>Rate(2)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Filing Fee</w:t>
              <w:br/>
              <w:t>Previously</w:t>
              <w:br/>
              <w:t>Paid in</w:t>
              <w:br/>
              <w:t>Connection</w:t>
              <w:br/>
              <w:t>with Unsold</w:t>
              <w:br/>
              <w:t>Securities to</w:t>
              <w:br/>
              <w:t>Be Carried</w:t>
              <w:br/>
              <w:t>Forward</w:t>
            </w:r>
          </w:p>
        </w:tc>
      </w:tr>
      <w:tr>
        <w:trPr>
          <w:trHeight w:val="15" w:hRule="atLeast"/>
        </w:trPr>
        <w:tc>
          <w:tcPr>
            <w:tcW w:w="1298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98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to Be</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Guarantees of Debt Securities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Previously</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298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980" w:type="dxa"/>
            <w:gridSpan w:val="25"/>
            <w:tcBorders>
              <w:left w:val="single" w:sz="2" w:space="0" w:color="000000"/>
              <w:right w:val="single" w:sz="2" w:space="0" w:color="000000"/>
            </w:tcBorders>
            <w:tcMar>
              <w:left w:w="160" w:type="dxa"/>
              <w:right w:w="40" w:type="dxa"/>
            </w:tcMar>
            <w:vAlign w:val="center"/>
          </w:tcPr>
          <w:p>
            <w:pPr>
              <w:pStyle w:val="TableContents"/>
              <w:bidi w:val="0"/>
              <w:spacing w:before="0" w:after="283"/>
              <w:jc w:val="center"/>
              <w:rPr/>
            </w:pPr>
            <w:r>
              <w:rPr/>
              <w:t>Carry Forward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Carry</w:t>
              <w:br/>
              <w:t>Forward</w:t>
              <w:b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center"/>
          </w:tcPr>
          <w:p>
            <w:pPr>
              <w:pStyle w:val="TableContents"/>
              <w:bidi w:val="0"/>
              <w:spacing w:before="0" w:after="283"/>
              <w:jc w:val="center"/>
              <w:rPr/>
            </w:pPr>
            <w:r>
              <w:rPr/>
              <w:t>N/A</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95" w:type="dxa"/>
            <w:gridSpan w:val="7"/>
            <w:tcBorders/>
            <w:vAlign w:val="bottom"/>
          </w:tcPr>
          <w:p>
            <w:pPr>
              <w:pStyle w:val="TableContents"/>
              <w:bidi w:val="0"/>
              <w:spacing w:before="0" w:after="283"/>
              <w:jc w:val="right"/>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95" w:type="dxa"/>
            <w:gridSpan w:val="7"/>
            <w:tcBorders/>
            <w:vAlign w:val="bottom"/>
          </w:tcPr>
          <w:p>
            <w:pPr>
              <w:pStyle w:val="TableContents"/>
              <w:bidi w:val="0"/>
              <w:spacing w:before="0" w:after="283"/>
              <w:jc w:val="right"/>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995" w:type="dxa"/>
            <w:gridSpan w:val="7"/>
            <w:tcBorders/>
            <w:vAlign w:val="bottom"/>
          </w:tcPr>
          <w:p>
            <w:pPr>
              <w:pStyle w:val="TableContents"/>
              <w:bidi w:val="0"/>
              <w:spacing w:before="0" w:after="283"/>
              <w:jc w:val="right"/>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995" w:type="dxa"/>
            <w:gridSpan w:val="7"/>
            <w:tcBorders>
              <w:bottom w:val="single" w:sz="2" w:space="0" w:color="000000"/>
            </w:tcBorders>
            <w:tcMar>
              <w:bottom w:w="28" w:type="dxa"/>
            </w:tcMar>
            <w:vAlign w:val="bottom"/>
          </w:tcPr>
          <w:p>
            <w:pPr>
              <w:pStyle w:val="TableContents"/>
              <w:bidi w:val="0"/>
              <w:spacing w:before="0" w:after="283"/>
              <w:jc w:val="right"/>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10" w:type="dxa"/>
            <w:tcBorders>
              <w:bottom w:val="single" w:sz="2" w:space="0" w:color="000000"/>
            </w:tcBorders>
            <w:tcMar>
              <w:bottom w:w="28" w:type="dxa"/>
            </w:tcMar>
            <w:vAlign w:val="bottom"/>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7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the anti-dilution provisions of any of the securities. Separate consideration may or may not be received for securities that are issuable upon conversion, exercise or exchange of other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Securities Act Rules 456(b) and 457(r), the registrant is deferring payment of all registration fees and will pay the registration fees subsequently in advance or on a pay-as-you-go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separate consideration will be received for the guarantees. Pursuant to Rule 457(n) under the Securities Act, no registration fee is required with respect to the guarantees.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0001692115/000169211523000056/swx-20221231.htm" TargetMode="External"/><Relationship Id="rId5" Type="http://schemas.openxmlformats.org/officeDocument/2006/relationships/hyperlink" Target="http://www.sec.gov/Archives/edgar/data/1692115/000169211523000056/swx-20221231.htm" TargetMode="External"/><Relationship Id="rId6" Type="http://schemas.openxmlformats.org/officeDocument/2006/relationships/hyperlink" Target="http://www.sec.gov/Archives/edgar/data/0001692115/000169211523000110/swx-20230331.htm" TargetMode="External"/><Relationship Id="rId7" Type="http://schemas.openxmlformats.org/officeDocument/2006/relationships/hyperlink" Target="http://www.sec.gov/Archives/edgar/data/0001692115/000169211523000133/swx-20230630.htm" TargetMode="External"/><Relationship Id="rId8" Type="http://schemas.openxmlformats.org/officeDocument/2006/relationships/hyperlink" Target="http://www.sec.gov/Archives/edgar/data/0001692115/000169211523000143/swx-20230930.htm" TargetMode="External"/><Relationship Id="rId9" Type="http://schemas.openxmlformats.org/officeDocument/2006/relationships/hyperlink" Target="http://www.sec.gov/Archives/edgar/data/0000092416/000169211523000110/swx-20230331.htm" TargetMode="External"/><Relationship Id="rId10" Type="http://schemas.openxmlformats.org/officeDocument/2006/relationships/hyperlink" Target="http://www.sec.gov/Archives/edgar/data/0000092416/000169211523000133/swx-20230630.htm" TargetMode="External"/><Relationship Id="rId11" Type="http://schemas.openxmlformats.org/officeDocument/2006/relationships/hyperlink" Target="http://www.sec.gov/Archives/edgar/data/0000092416/000169211523000143/swx-20230930.htm" TargetMode="External"/><Relationship Id="rId12" Type="http://schemas.openxmlformats.org/officeDocument/2006/relationships/hyperlink" Target="http://www.sec.gov/Archives/edgar/data/0001692115/000169211523000079/swx-20230321.htm" TargetMode="External"/><Relationship Id="rId13" Type="http://schemas.openxmlformats.org/officeDocument/2006/relationships/hyperlink" Target="http://www.sec.gov/Archives/edgar/data/1692115/000169211523000056/swx-20221231.htm" TargetMode="External"/><Relationship Id="rId14" Type="http://schemas.openxmlformats.org/officeDocument/2006/relationships/hyperlink" Target="http://www.sec.gov/Archives/edgar/data/0001692115/000119312523043486/d367217d8ka.htm" TargetMode="External"/><Relationship Id="rId15" Type="http://schemas.openxmlformats.org/officeDocument/2006/relationships/hyperlink" Target="http://www.sec.gov/Archives/edgar/data/0001692115/000119312523008342/d425892d8k.htm" TargetMode="External"/><Relationship Id="rId16" Type="http://schemas.openxmlformats.org/officeDocument/2006/relationships/hyperlink" Target="http://www.sec.gov/Archives/edgar/data/0001692115/000119312523012081/d439616d8k.htm" TargetMode="External"/><Relationship Id="rId17" Type="http://schemas.openxmlformats.org/officeDocument/2006/relationships/hyperlink" Target="http://www.sec.gov/Archives/edgar/data/0001692115/000119312523039232/d451660d8k.htm" TargetMode="External"/><Relationship Id="rId18" Type="http://schemas.openxmlformats.org/officeDocument/2006/relationships/hyperlink" Target="http://www.sec.gov/Archives/edgar/data/0001692115/000119312523063014/d439183d8k.htm" TargetMode="External"/><Relationship Id="rId19" Type="http://schemas.openxmlformats.org/officeDocument/2006/relationships/hyperlink" Target="http://www.sec.gov/Archives/edgar/data/0001692115/000119312523067592/d481926d8k.htm" TargetMode="External"/><Relationship Id="rId20" Type="http://schemas.openxmlformats.org/officeDocument/2006/relationships/hyperlink" Target="http://www.sec.gov/Archives/edgar/data/0001692115/000119312523078049/d360456d8k.htm" TargetMode="External"/><Relationship Id="rId21" Type="http://schemas.openxmlformats.org/officeDocument/2006/relationships/hyperlink" Target="http://www.sec.gov/Archives/edgar/data/0001692115/000169211523000102/swx-20230329.htm" TargetMode="External"/><Relationship Id="rId22" Type="http://schemas.openxmlformats.org/officeDocument/2006/relationships/hyperlink" Target="http://www.sec.gov/Archives/edgar/data/0001692115/000119312523103864/d484535d8k.htm" TargetMode="External"/><Relationship Id="rId23" Type="http://schemas.openxmlformats.org/officeDocument/2006/relationships/hyperlink" Target="http://www.sec.gov/Archives/edgar/data/0001692115/000119312523126894/d485601d8k.htm" TargetMode="External"/><Relationship Id="rId24" Type="http://schemas.openxmlformats.org/officeDocument/2006/relationships/hyperlink" Target="http://www.sec.gov/Archives/edgar/data/../../../ix?doc=/Archives/edgar/data/1692115/000169211523000112/swx-20230504.htm" TargetMode="External"/><Relationship Id="rId25" Type="http://schemas.openxmlformats.org/officeDocument/2006/relationships/hyperlink" Target="http://www.sec.gov/Archives/edgar/data/0001692115/000169211523000123/swx-20230717.htm" TargetMode="External"/><Relationship Id="rId26" Type="http://schemas.openxmlformats.org/officeDocument/2006/relationships/hyperlink" Target="http://www.sec.gov/Archives/edgar/data/0001692115/000119312523262990/d572435d8k.htm" TargetMode="External"/><Relationship Id="rId27" Type="http://schemas.openxmlformats.org/officeDocument/2006/relationships/hyperlink" Target="http://www.sec.gov/Archives/edgar/data/0001692115/000119312523270893/d927165d8k.htm" TargetMode="External"/><Relationship Id="rId28" Type="http://schemas.openxmlformats.org/officeDocument/2006/relationships/hyperlink" Target="http://www.sec.gov/Archives/edgar/data/0001692115/000119312523277885/d604131d8k.htm" TargetMode="External"/><Relationship Id="rId29" Type="http://schemas.openxmlformats.org/officeDocument/2006/relationships/hyperlink" Target="http://www.sec.gov/Archives/edgar/data/../../../ix?doc=/Archives/edgar/data/1692115/000119312523283402/d906756d8k.htm" TargetMode="External"/><Relationship Id="rId30" Type="http://schemas.openxmlformats.org/officeDocument/2006/relationships/hyperlink" Target="http://www.sec.gov/Archives/edgar/data/../../../ix?doc=/Archives/edgar/data/1692115/000119312523283389/d906748d8k.htm" TargetMode="External"/><Relationship Id="rId31" Type="http://schemas.openxmlformats.org/officeDocument/2006/relationships/hyperlink" Target="http://www.sec.gov/Archives/edgar/data/0000092416/000119312523012081/d439616d8k.htm" TargetMode="External"/><Relationship Id="rId32" Type="http://schemas.openxmlformats.org/officeDocument/2006/relationships/hyperlink" Target="http://www.sec.gov/Archives/edgar/data/0000092416/000119312523078049/d360456d8k.htm" TargetMode="External"/><Relationship Id="rId33" Type="http://schemas.openxmlformats.org/officeDocument/2006/relationships/hyperlink" Target="http://www.sec.gov/Archives/edgar/data/0000092416/000169211523000102/swx-20230329.htm" TargetMode="External"/><Relationship Id="rId34" Type="http://schemas.openxmlformats.org/officeDocument/2006/relationships/hyperlink" Target="http://www.sec.gov/Archives/edgar/data/0000092416/000119312523103864/d484535d8k.htm" TargetMode="External"/><Relationship Id="rId35" Type="http://schemas.openxmlformats.org/officeDocument/2006/relationships/hyperlink" Target="http://www.sec.gov/Archives/edgar/data/0000092416/000119312523126894/d485601d8k.htm" TargetMode="External"/><Relationship Id="rId36" Type="http://schemas.openxmlformats.org/officeDocument/2006/relationships/hyperlink" Target="http://www.sec.gov/Archives/edgar/data/0000092416/000169211523000123/swx-20230717.htm" TargetMode="External"/><Relationship Id="rId37" Type="http://schemas.openxmlformats.org/officeDocument/2006/relationships/hyperlink" Target="http://www.sec.gov/Archives/edgar/data/0001692115/000119312519250669/d745199dex31.htm" TargetMode="External"/><Relationship Id="rId38" Type="http://schemas.openxmlformats.org/officeDocument/2006/relationships/hyperlink" Target="http://www.sec.gov/Archives/edgar/data/0001692115/000119312521300832/d63498dex31.htm" TargetMode="External"/><Relationship Id="rId39" Type="http://schemas.openxmlformats.org/officeDocument/2006/relationships/hyperlink" Target="http://www.sec.gov/Archives/edgar/data/0001692115/000119312523262990/d572435dex31.htm" TargetMode="External"/><Relationship Id="rId40" Type="http://schemas.openxmlformats.org/officeDocument/2006/relationships/hyperlink" Target="http://www.sec.gov/Archives/edgar/data/0001692115/000119312519250669/d745199dex41.htm" TargetMode="External"/><Relationship Id="rId41" Type="http://schemas.openxmlformats.org/officeDocument/2006/relationships/hyperlink" Target="http://www.sec.gov/Archives/edgar/data/1692115/000119312520308380/d91992dex44.htm" TargetMode="External"/><Relationship Id="rId42" Type="http://schemas.openxmlformats.org/officeDocument/2006/relationships/hyperlink" Target="http://www.sec.gov/Archives/edgar/data/92416/0000892569-94-000102.txt" TargetMode="External"/><Relationship Id="rId43" Type="http://schemas.openxmlformats.org/officeDocument/2006/relationships/hyperlink" Target="http://www.sec.gov/Archives/edgar/data/92416/0000892569-94-000102.txt" TargetMode="External"/><Relationship Id="rId44" Type="http://schemas.openxmlformats.org/officeDocument/2006/relationships/hyperlink" Target="http://www.sec.gov/Archives/edgar/data/92416/0000892569-95-000603.txt" TargetMode="External"/><Relationship Id="rId45" Type="http://schemas.openxmlformats.org/officeDocument/2006/relationships/hyperlink" Target="http://www.sec.gov/Archives/edgar/data/92416/0000092416-95-000036.txt" TargetMode="External"/><Relationship Id="rId46" Type="http://schemas.openxmlformats.org/officeDocument/2006/relationships/hyperlink" Target="http://www.sec.gov/Archives/edgar/data/92416/0000092416-95-000036.txt" TargetMode="External"/><Relationship Id="rId47" Type="http://schemas.openxmlformats.org/officeDocument/2006/relationships/hyperlink" Target="http://www.sec.gov/Archives/edgar/data/92416/0000092416-96-000035.txt" TargetMode="External"/><Relationship Id="rId48" Type="http://schemas.openxmlformats.org/officeDocument/2006/relationships/hyperlink" Target="http://www.sec.gov/Archives/edgar/data/92416/0000092416-96-000040.txt" TargetMode="External"/><Relationship Id="rId49" Type="http://schemas.openxmlformats.org/officeDocument/2006/relationships/hyperlink" Target="http://www.sec.gov/Archives/edgar/data/92416/0000092416-96-000059.txt" TargetMode="External"/><Relationship Id="rId50" Type="http://schemas.openxmlformats.org/officeDocument/2006/relationships/hyperlink" Target="http://www.sec.gov/Archives/edgar/data/92416/000109581100000781/0001095811-00-000781.txt" TargetMode="External"/><Relationship Id="rId51" Type="http://schemas.openxmlformats.org/officeDocument/2006/relationships/hyperlink" Target="http://www.sec.gov/Archives/edgar/data/92416/000109581101001054/a69429ex4-01.txt" TargetMode="External"/><Relationship Id="rId52" Type="http://schemas.openxmlformats.org/officeDocument/2006/relationships/hyperlink" Target="http://www.sec.gov/Archives/edgar/data/92416/000089256902000967/a81266ex4-01.txt" TargetMode="External"/><Relationship Id="rId53" Type="http://schemas.openxmlformats.org/officeDocument/2006/relationships/hyperlink" Target="http://www.sec.gov/Archives/edgar/data/92416/000119312503041314/dex409.htm" TargetMode="External"/><Relationship Id="rId54" Type="http://schemas.openxmlformats.org/officeDocument/2006/relationships/hyperlink" Target="http://www.sec.gov/Archives/edgar/data/92416/000119312503041314/dex413.htm" TargetMode="External"/><Relationship Id="rId55" Type="http://schemas.openxmlformats.org/officeDocument/2006/relationships/hyperlink" Target="http://www.sec.gov/Archives/edgar/data/92416/000119312503041314/dex414.htm" TargetMode="External"/><Relationship Id="rId56" Type="http://schemas.openxmlformats.org/officeDocument/2006/relationships/hyperlink" Target="http://www.sec.gov/Archives/edgar/data/92416/000009241604000070/exhibit4.htm" TargetMode="External"/><Relationship Id="rId57" Type="http://schemas.openxmlformats.org/officeDocument/2006/relationships/hyperlink" Target="http://www.sec.gov/Archives/edgar/data/92416/000119312505049845/dex401.htm" TargetMode="External"/><Relationship Id="rId58" Type="http://schemas.openxmlformats.org/officeDocument/2006/relationships/hyperlink" Target="http://www.sec.gov/Archives/edgar/data/92416/000009241605000100/exhibit4.htm" TargetMode="External"/><Relationship Id="rId59" Type="http://schemas.openxmlformats.org/officeDocument/2006/relationships/hyperlink" Target="http://www.sec.gov/Archives/edgar/data/92416/000009241606000059/exhibit4-1.htm" TargetMode="External"/><Relationship Id="rId60" Type="http://schemas.openxmlformats.org/officeDocument/2006/relationships/hyperlink" Target="http://www.sec.gov/Archives/edgar/data/92416/000119312510042973/dex427.htm" TargetMode="External"/><Relationship Id="rId61" Type="http://schemas.openxmlformats.org/officeDocument/2006/relationships/hyperlink" Target="http://www.sec.gov/Archives/edgar/data/92416/000119312512129184/d321987dex41.htm" TargetMode="External"/><Relationship Id="rId62" Type="http://schemas.openxmlformats.org/officeDocument/2006/relationships/hyperlink" Target="http://www.sec.gov/Archives/edgar/data/92416/000119312513391564/d607288dex41.htm" TargetMode="External"/><Relationship Id="rId63" Type="http://schemas.openxmlformats.org/officeDocument/2006/relationships/hyperlink" Target="http://www.sec.gov/Archives/edgar/data/92416/000119312516725882/d442271dex41.htm" TargetMode="External"/><Relationship Id="rId64" Type="http://schemas.openxmlformats.org/officeDocument/2006/relationships/hyperlink" Target="http://www.sec.gov/Archives/edgar/data/92416/000119312518084096/d482364dex41.htm" TargetMode="External"/><Relationship Id="rId65" Type="http://schemas.openxmlformats.org/officeDocument/2006/relationships/hyperlink" Target="http://www.sec.gov/Archives/edgar/data/92416/000119312518084096/d482364dex41.htm" TargetMode="External"/><Relationship Id="rId66" Type="http://schemas.openxmlformats.org/officeDocument/2006/relationships/hyperlink" Target="http://www.sec.gov/Archives/edgar/data/92416/000119312518084096/d482364dex42.htm" TargetMode="External"/><Relationship Id="rId67" Type="http://schemas.openxmlformats.org/officeDocument/2006/relationships/hyperlink" Target="http://www.sec.gov/Archives/edgar/data/92416/000119312519162792/d756014dex41.htm" TargetMode="External"/><Relationship Id="rId68" Type="http://schemas.openxmlformats.org/officeDocument/2006/relationships/hyperlink" Target="http://www.sec.gov/Archives/edgar/data/92416/000119312519162792/d756014dex42.htm" TargetMode="External"/><Relationship Id="rId69" Type="http://schemas.openxmlformats.org/officeDocument/2006/relationships/hyperlink" Target="http://www.sec.gov/Archives/edgar/data/92416/000119312520160698/d939354dex41.htm" TargetMode="External"/><Relationship Id="rId70" Type="http://schemas.openxmlformats.org/officeDocument/2006/relationships/hyperlink" Target="http://www.sec.gov/Archives/edgar/data/92416/000119312520160698/d939354dex42.htm" TargetMode="External"/><Relationship Id="rId71" Type="http://schemas.openxmlformats.org/officeDocument/2006/relationships/hyperlink" Target="http://www.sec.gov/Archives/edgar/data/0000092416/000119312521252815/d216020dex41.htm" TargetMode="External"/><Relationship Id="rId72" Type="http://schemas.openxmlformats.org/officeDocument/2006/relationships/hyperlink" Target="http://www.sec.gov/Archives/edgar/data/0000092416/000119312522081759/d315333dex41.htm" TargetMode="External"/><Relationship Id="rId73" Type="http://schemas.openxmlformats.org/officeDocument/2006/relationships/hyperlink" Target="http://www.sec.gov/Archives/edgar/data/0000092416/000119312522296513/d428629dex41.htm" TargetMode="External"/><Relationship Id="rId74" Type="http://schemas.openxmlformats.org/officeDocument/2006/relationships/hyperlink" Target="http://www.sec.gov/Archives/edgar/data/0000092416/000119312523078049/d360456dex41.htm" TargetMode="External"/><Relationship Id="rId75" Type="http://schemas.openxmlformats.org/officeDocument/2006/relationships/hyperlink" Target="http://www.sec.gov/Archives/edgar/data/0001692115/000119312523270893/d927165dex41.htm" TargetMode="External"/><Relationship Id="rId76" Type="http://schemas.openxmlformats.org/officeDocument/2006/relationships/hyperlink" Target="http://www.sec.gov/Archives/edgar/data/0001692115/000119312523270893/d927165dex31.htm" TargetMode="External"/><Relationship Id="rId77" Type="http://schemas.openxmlformats.org/officeDocument/2006/relationships/image" Target="media/image3.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27778</Words>
  <Characters>145208</Characters>
  <CharactersWithSpaces>173990</CharactersWithSpaces>
  <Paragraphs>3403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